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8" w:rsidRDefault="00B25E72" w:rsidP="00B06A78">
      <w:pPr>
        <w:spacing w:after="0" w:line="240" w:lineRule="auto"/>
        <w:jc w:val="center"/>
      </w:pPr>
      <w:r>
        <w:t xml:space="preserve">Аналитическая записка и рекомендации  по поддержке СО НКО </w:t>
      </w:r>
    </w:p>
    <w:p w:rsidR="00B25E72" w:rsidRDefault="00B25E72" w:rsidP="00B06A78">
      <w:pPr>
        <w:spacing w:after="0" w:line="240" w:lineRule="auto"/>
        <w:jc w:val="center"/>
      </w:pPr>
      <w:r>
        <w:t>для Полномочного представителя Президента в Сибирском Федеральном Округе.</w:t>
      </w:r>
    </w:p>
    <w:p w:rsidR="00B25E72" w:rsidRDefault="00B06A78" w:rsidP="00B06A78">
      <w:pPr>
        <w:spacing w:after="0" w:line="240" w:lineRule="auto"/>
        <w:jc w:val="center"/>
      </w:pPr>
      <w:proofErr w:type="spellStart"/>
      <w:r>
        <w:t>г</w:t>
      </w:r>
      <w:r w:rsidR="00B25E72">
        <w:t>.Новосибирск</w:t>
      </w:r>
      <w:proofErr w:type="spellEnd"/>
    </w:p>
    <w:p w:rsidR="00B25E72" w:rsidRPr="00B25E72" w:rsidRDefault="00B25E72" w:rsidP="00B06A78">
      <w:pPr>
        <w:spacing w:after="0" w:line="240" w:lineRule="auto"/>
        <w:jc w:val="center"/>
      </w:pPr>
      <w:r>
        <w:t>12.07.2013</w:t>
      </w:r>
    </w:p>
    <w:p w:rsidR="00B25E72" w:rsidRPr="00B25E72" w:rsidRDefault="00B25E72" w:rsidP="002D4833">
      <w:pPr>
        <w:spacing w:after="0" w:line="240" w:lineRule="auto"/>
      </w:pPr>
    </w:p>
    <w:p w:rsidR="00362712" w:rsidRDefault="00CD0426" w:rsidP="00B06A78">
      <w:pPr>
        <w:spacing w:after="0" w:line="240" w:lineRule="auto"/>
        <w:jc w:val="both"/>
      </w:pPr>
      <w:r>
        <w:t>В 2008 году по ин</w:t>
      </w:r>
      <w:r w:rsidR="00066AAB">
        <w:t>ициативе</w:t>
      </w:r>
      <w:r>
        <w:t xml:space="preserve"> МЭР РФ была создана рабочая группа по подготовке Концепции содействи</w:t>
      </w:r>
      <w:r w:rsidR="00B06A78">
        <w:t>я</w:t>
      </w:r>
      <w:r>
        <w:t xml:space="preserve"> развити</w:t>
      </w:r>
      <w:r w:rsidR="00B06A78">
        <w:t>ю</w:t>
      </w:r>
      <w:r>
        <w:t xml:space="preserve"> благотворительности и добровольчества в РФ.  Идея разработки Концепции основывалась на том, что государство несет и будет нести </w:t>
      </w:r>
      <w:r w:rsidR="00B06A78">
        <w:t>в</w:t>
      </w:r>
      <w:r>
        <w:t>се более возрастающую нагрузку по выполнению своих социальных обязательств перед населением</w:t>
      </w:r>
      <w:r w:rsidR="006F06AB">
        <w:t xml:space="preserve">. </w:t>
      </w:r>
      <w:r w:rsidR="00B06A78">
        <w:t>А</w:t>
      </w:r>
      <w:r w:rsidR="006F06AB">
        <w:t>нализ вклада в ВВП стран мира за счет привлечения добровольческого труда и благотворительных пожертвований показывал, что</w:t>
      </w:r>
      <w:r w:rsidR="00B06A78">
        <w:t xml:space="preserve"> аналогичный вклад в Российской Федерации мог бы быть весьма существенным, если бы данные сферы поддерживались</w:t>
      </w:r>
      <w:r w:rsidR="006F06AB">
        <w:t xml:space="preserve"> государственной политикой</w:t>
      </w:r>
      <w:r w:rsidR="00B06A78">
        <w:t>.</w:t>
      </w:r>
    </w:p>
    <w:p w:rsidR="00B06A78" w:rsidRDefault="00B06A78" w:rsidP="00B06A78">
      <w:pPr>
        <w:spacing w:after="0" w:line="240" w:lineRule="auto"/>
        <w:jc w:val="both"/>
      </w:pPr>
    </w:p>
    <w:p w:rsidR="00B06A78" w:rsidRPr="00362712" w:rsidRDefault="00B06A78" w:rsidP="00B06A78">
      <w:pPr>
        <w:spacing w:after="0" w:line="240" w:lineRule="auto"/>
        <w:jc w:val="both"/>
      </w:pPr>
    </w:p>
    <w:p w:rsidR="00E94043" w:rsidRDefault="00AE41F5" w:rsidP="00B06A78">
      <w:pPr>
        <w:spacing w:after="0" w:line="240" w:lineRule="auto"/>
        <w:jc w:val="both"/>
      </w:pPr>
      <w:r>
        <w:tab/>
      </w:r>
      <w:r w:rsidR="00E94043">
        <w:t>Занятость в секторе НКО</w:t>
      </w:r>
    </w:p>
    <w:p w:rsidR="00AE41F5" w:rsidRDefault="00E94043" w:rsidP="00B06A78">
      <w:pPr>
        <w:spacing w:after="0" w:line="240" w:lineRule="auto"/>
        <w:jc w:val="both"/>
      </w:pPr>
      <w:r>
        <w:t xml:space="preserve"> </w:t>
      </w:r>
      <w:r w:rsidRPr="00E94043">
        <w:t xml:space="preserve">Доля занятых в некоммерческом секторе в численности экономически активного населения в 2009 году </w:t>
      </w:r>
      <w:r>
        <w:t xml:space="preserve">( по данным всероссийского обследования НКО ГУ-ВШЭ ) </w:t>
      </w:r>
      <w:r w:rsidR="00AE41F5">
        <w:tab/>
      </w:r>
      <w:r w:rsidR="006F06AB">
        <w:t xml:space="preserve"> </w:t>
      </w:r>
    </w:p>
    <w:p w:rsidR="00AE41F5" w:rsidRDefault="00AE41F5" w:rsidP="002D483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04A2838" wp14:editId="77F5B672">
            <wp:extent cx="4981575" cy="3398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18" cy="3401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043" w:rsidRDefault="00E94043" w:rsidP="002D4833">
      <w:pPr>
        <w:spacing w:after="0" w:line="240" w:lineRule="auto"/>
      </w:pPr>
    </w:p>
    <w:p w:rsidR="00E94043" w:rsidRDefault="00E94043" w:rsidP="002D4833">
      <w:pPr>
        <w:spacing w:after="0" w:line="240" w:lineRule="auto"/>
      </w:pPr>
    </w:p>
    <w:p w:rsidR="00E94043" w:rsidRDefault="00E94043" w:rsidP="002D4833">
      <w:pPr>
        <w:spacing w:after="0" w:line="240" w:lineRule="auto"/>
      </w:pPr>
      <w:r w:rsidRPr="00E94043">
        <w:t>Доля добровольцев по показателю эффективной занятости в некоммерческом секторе от численности экономически активного населения в 2008 году</w:t>
      </w:r>
    </w:p>
    <w:p w:rsidR="00E94043" w:rsidRDefault="00E94043" w:rsidP="002D4833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86525E8" wp14:editId="4B6BFDBD">
            <wp:extent cx="4819649" cy="2962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49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043" w:rsidRDefault="00E94043" w:rsidP="002D4833">
      <w:pPr>
        <w:spacing w:after="0" w:line="240" w:lineRule="auto"/>
      </w:pPr>
    </w:p>
    <w:p w:rsidR="00E94043" w:rsidRDefault="00E94043" w:rsidP="002D4833">
      <w:pPr>
        <w:spacing w:after="0" w:line="240" w:lineRule="auto"/>
      </w:pPr>
      <w:r w:rsidRPr="00E94043">
        <w:t>Объем частных благотворительных пожертвований (в % к ВВП)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77BE3" w:rsidTr="00362712">
        <w:tc>
          <w:tcPr>
            <w:tcW w:w="1242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</w:t>
            </w:r>
          </w:p>
        </w:tc>
        <w:tc>
          <w:tcPr>
            <w:tcW w:w="5138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Страна</w:t>
            </w:r>
          </w:p>
        </w:tc>
        <w:tc>
          <w:tcPr>
            <w:tcW w:w="3191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% к ВВП</w:t>
            </w:r>
          </w:p>
        </w:tc>
      </w:tr>
      <w:tr w:rsidR="00777BE3" w:rsidTr="00362712">
        <w:tc>
          <w:tcPr>
            <w:tcW w:w="1242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5138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США</w:t>
            </w:r>
          </w:p>
        </w:tc>
        <w:tc>
          <w:tcPr>
            <w:tcW w:w="3191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1,84</w:t>
            </w:r>
          </w:p>
        </w:tc>
      </w:tr>
      <w:tr w:rsidR="00777BE3" w:rsidTr="00362712">
        <w:tc>
          <w:tcPr>
            <w:tcW w:w="1242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5138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Израиль</w:t>
            </w:r>
          </w:p>
        </w:tc>
        <w:tc>
          <w:tcPr>
            <w:tcW w:w="3191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1,34</w:t>
            </w:r>
          </w:p>
        </w:tc>
      </w:tr>
      <w:tr w:rsidR="00777BE3" w:rsidTr="00362712">
        <w:tc>
          <w:tcPr>
            <w:tcW w:w="1242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5138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Канада</w:t>
            </w:r>
          </w:p>
        </w:tc>
        <w:tc>
          <w:tcPr>
            <w:tcW w:w="3191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1,17</w:t>
            </w:r>
          </w:p>
        </w:tc>
      </w:tr>
      <w:tr w:rsidR="00777BE3" w:rsidTr="00362712">
        <w:tc>
          <w:tcPr>
            <w:tcW w:w="1242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…</w:t>
            </w:r>
          </w:p>
        </w:tc>
        <w:tc>
          <w:tcPr>
            <w:tcW w:w="5138" w:type="dxa"/>
          </w:tcPr>
          <w:p w:rsidR="00777BE3" w:rsidRDefault="00777BE3" w:rsidP="002D4833">
            <w:pPr>
              <w:rPr>
                <w:noProof/>
                <w:lang w:val="en-US" w:eastAsia="ru-RU"/>
              </w:rPr>
            </w:pPr>
          </w:p>
        </w:tc>
        <w:tc>
          <w:tcPr>
            <w:tcW w:w="3191" w:type="dxa"/>
          </w:tcPr>
          <w:p w:rsidR="00777BE3" w:rsidRDefault="00777BE3" w:rsidP="002D4833">
            <w:pPr>
              <w:rPr>
                <w:noProof/>
                <w:lang w:val="en-US" w:eastAsia="ru-RU"/>
              </w:rPr>
            </w:pPr>
          </w:p>
        </w:tc>
      </w:tr>
      <w:tr w:rsidR="00777BE3" w:rsidTr="00362712">
        <w:tc>
          <w:tcPr>
            <w:tcW w:w="1242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5138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Великобритания</w:t>
            </w:r>
          </w:p>
        </w:tc>
        <w:tc>
          <w:tcPr>
            <w:tcW w:w="3191" w:type="dxa"/>
          </w:tcPr>
          <w:p w:rsidR="00777BE3" w:rsidRP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0,84</w:t>
            </w:r>
          </w:p>
        </w:tc>
      </w:tr>
      <w:tr w:rsidR="00777BE3" w:rsidTr="00362712">
        <w:tc>
          <w:tcPr>
            <w:tcW w:w="1242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  <w:tc>
          <w:tcPr>
            <w:tcW w:w="5138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Франция</w:t>
            </w:r>
          </w:p>
        </w:tc>
        <w:tc>
          <w:tcPr>
            <w:tcW w:w="3191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0,32</w:t>
            </w:r>
          </w:p>
        </w:tc>
      </w:tr>
      <w:tr w:rsidR="00777BE3" w:rsidTr="00362712">
        <w:tc>
          <w:tcPr>
            <w:tcW w:w="1242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</w:t>
            </w:r>
          </w:p>
        </w:tc>
        <w:tc>
          <w:tcPr>
            <w:tcW w:w="5138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Индия</w:t>
            </w:r>
          </w:p>
        </w:tc>
        <w:tc>
          <w:tcPr>
            <w:tcW w:w="3191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0,09</w:t>
            </w:r>
          </w:p>
        </w:tc>
      </w:tr>
      <w:tr w:rsidR="00777BE3" w:rsidTr="00362712">
        <w:tc>
          <w:tcPr>
            <w:tcW w:w="1242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36</w:t>
            </w:r>
          </w:p>
        </w:tc>
        <w:tc>
          <w:tcPr>
            <w:tcW w:w="5138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Мексика</w:t>
            </w:r>
          </w:p>
        </w:tc>
        <w:tc>
          <w:tcPr>
            <w:tcW w:w="3191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0,04</w:t>
            </w:r>
          </w:p>
        </w:tc>
      </w:tr>
      <w:tr w:rsidR="00777BE3" w:rsidTr="00362712">
        <w:tc>
          <w:tcPr>
            <w:tcW w:w="1242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37</w:t>
            </w:r>
          </w:p>
        </w:tc>
        <w:tc>
          <w:tcPr>
            <w:tcW w:w="5138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Россия</w:t>
            </w:r>
          </w:p>
        </w:tc>
        <w:tc>
          <w:tcPr>
            <w:tcW w:w="3191" w:type="dxa"/>
          </w:tcPr>
          <w:p w:rsidR="00777BE3" w:rsidRDefault="00777BE3" w:rsidP="002D483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</w:tr>
    </w:tbl>
    <w:p w:rsidR="008C4E13" w:rsidRDefault="008C4E13" w:rsidP="002D4833">
      <w:pPr>
        <w:spacing w:after="0" w:line="240" w:lineRule="auto"/>
        <w:rPr>
          <w:noProof/>
          <w:lang w:val="en-US" w:eastAsia="ru-RU"/>
        </w:rPr>
      </w:pPr>
    </w:p>
    <w:p w:rsidR="00777BE3" w:rsidRDefault="00777BE3" w:rsidP="002D4833">
      <w:pPr>
        <w:spacing w:after="0" w:line="240" w:lineRule="auto"/>
        <w:rPr>
          <w:noProof/>
          <w:lang w:val="en-US" w:eastAsia="ru-RU"/>
        </w:rPr>
      </w:pPr>
    </w:p>
    <w:p w:rsidR="0084053A" w:rsidRDefault="0084053A" w:rsidP="002D483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Потенциал привлечения внебюджетных ресурсов к развитию сектора НКО:</w:t>
      </w:r>
    </w:p>
    <w:p w:rsidR="00B06A78" w:rsidRDefault="00B06A78" w:rsidP="002D4833">
      <w:pPr>
        <w:spacing w:after="0" w:line="240" w:lineRule="auto"/>
        <w:rPr>
          <w:i/>
          <w:noProof/>
          <w:lang w:eastAsia="ru-RU"/>
        </w:rPr>
      </w:pPr>
    </w:p>
    <w:p w:rsidR="00777BE3" w:rsidRDefault="0084053A" w:rsidP="00B06A78">
      <w:pPr>
        <w:spacing w:after="0" w:line="240" w:lineRule="auto"/>
        <w:jc w:val="both"/>
        <w:rPr>
          <w:noProof/>
          <w:lang w:eastAsia="ru-RU"/>
        </w:rPr>
      </w:pPr>
      <w:r w:rsidRPr="00B06A78">
        <w:rPr>
          <w:i/>
          <w:noProof/>
          <w:lang w:eastAsia="ru-RU"/>
        </w:rPr>
        <w:t>За счет труда добровольцев</w:t>
      </w:r>
      <w:r>
        <w:rPr>
          <w:noProof/>
          <w:lang w:eastAsia="ru-RU"/>
        </w:rPr>
        <w:t>:</w:t>
      </w:r>
    </w:p>
    <w:p w:rsidR="0084053A" w:rsidRDefault="0084053A" w:rsidP="00B06A78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Текущий уровень в РФ</w:t>
      </w:r>
      <w:r w:rsidR="00B06A78">
        <w:rPr>
          <w:noProof/>
          <w:lang w:eastAsia="ru-RU"/>
        </w:rPr>
        <w:t xml:space="preserve"> </w:t>
      </w:r>
      <w:r>
        <w:rPr>
          <w:noProof/>
          <w:lang w:eastAsia="ru-RU"/>
        </w:rPr>
        <w:t>- 14,5 млрд.руб. При достижении уровня развитых стран составит 100 млрд.рублей, а при достижении уровня стран</w:t>
      </w:r>
      <w:r w:rsidR="00B06A78">
        <w:rPr>
          <w:noProof/>
          <w:lang w:eastAsia="ru-RU"/>
        </w:rPr>
        <w:t>-</w:t>
      </w:r>
      <w:r>
        <w:rPr>
          <w:noProof/>
          <w:lang w:eastAsia="ru-RU"/>
        </w:rPr>
        <w:t>лидеров может составить  200 млрд.руб.</w:t>
      </w:r>
    </w:p>
    <w:p w:rsidR="0084053A" w:rsidRDefault="0084053A" w:rsidP="00B06A78">
      <w:pPr>
        <w:spacing w:after="0" w:line="240" w:lineRule="auto"/>
        <w:jc w:val="both"/>
        <w:rPr>
          <w:noProof/>
          <w:lang w:eastAsia="ru-RU"/>
        </w:rPr>
      </w:pPr>
      <w:r w:rsidRPr="00B06A78">
        <w:rPr>
          <w:i/>
          <w:noProof/>
          <w:lang w:eastAsia="ru-RU"/>
        </w:rPr>
        <w:t>По увеличению благотв</w:t>
      </w:r>
      <w:r w:rsidR="00B06A78">
        <w:rPr>
          <w:i/>
          <w:noProof/>
          <w:lang w:eastAsia="ru-RU"/>
        </w:rPr>
        <w:t>о</w:t>
      </w:r>
      <w:r w:rsidRPr="00B06A78">
        <w:rPr>
          <w:i/>
          <w:noProof/>
          <w:lang w:eastAsia="ru-RU"/>
        </w:rPr>
        <w:t>рительных пожертвований</w:t>
      </w:r>
      <w:r>
        <w:rPr>
          <w:noProof/>
          <w:lang w:eastAsia="ru-RU"/>
        </w:rPr>
        <w:t>:</w:t>
      </w:r>
    </w:p>
    <w:p w:rsidR="0084053A" w:rsidRDefault="0084053A" w:rsidP="00B06A78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Текущий уровень составляет 45 млрд.рублей, при достижении уровня сорвременных развитых государств может составить 200-300 млрд</w:t>
      </w:r>
      <w:r w:rsidR="00B06A78">
        <w:rPr>
          <w:noProof/>
          <w:lang w:eastAsia="ru-RU"/>
        </w:rPr>
        <w:t xml:space="preserve">. </w:t>
      </w:r>
      <w:r>
        <w:rPr>
          <w:noProof/>
          <w:lang w:eastAsia="ru-RU"/>
        </w:rPr>
        <w:t>рублей</w:t>
      </w:r>
      <w:r w:rsidR="00B06A78">
        <w:rPr>
          <w:noProof/>
          <w:lang w:eastAsia="ru-RU"/>
        </w:rPr>
        <w:t>.</w:t>
      </w:r>
    </w:p>
    <w:p w:rsidR="0084053A" w:rsidRDefault="0084053A" w:rsidP="00B06A78">
      <w:pPr>
        <w:spacing w:after="0" w:line="240" w:lineRule="auto"/>
        <w:jc w:val="both"/>
        <w:rPr>
          <w:noProof/>
          <w:lang w:eastAsia="ru-RU"/>
        </w:rPr>
      </w:pPr>
    </w:p>
    <w:p w:rsidR="0084053A" w:rsidRDefault="0084053A" w:rsidP="00B06A78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Принятие Концепции содействи</w:t>
      </w:r>
      <w:r w:rsidR="00B06A78">
        <w:rPr>
          <w:noProof/>
          <w:lang w:eastAsia="ru-RU"/>
        </w:rPr>
        <w:t>я</w:t>
      </w:r>
      <w:r>
        <w:rPr>
          <w:noProof/>
          <w:lang w:eastAsia="ru-RU"/>
        </w:rPr>
        <w:t xml:space="preserve"> развити</w:t>
      </w:r>
      <w:r w:rsidR="00B06A78">
        <w:rPr>
          <w:noProof/>
          <w:lang w:eastAsia="ru-RU"/>
        </w:rPr>
        <w:t>ю</w:t>
      </w:r>
      <w:r>
        <w:rPr>
          <w:noProof/>
          <w:lang w:eastAsia="ru-RU"/>
        </w:rPr>
        <w:t xml:space="preserve"> благотоврительности и добровольчества основывалось на одном из приоритетов Концепции долгосрочного социально-экономического развития РФ на период до 2020 года, утвержденной распоряжением Правительства РФ от 17.11.2008 г. №1662-р- развитии институтов гражаднского общества.</w:t>
      </w:r>
    </w:p>
    <w:p w:rsidR="0084053A" w:rsidRDefault="0084053A" w:rsidP="00B06A78">
      <w:pPr>
        <w:spacing w:after="0" w:line="240" w:lineRule="auto"/>
        <w:jc w:val="both"/>
        <w:rPr>
          <w:noProof/>
          <w:lang w:eastAsia="ru-RU"/>
        </w:rPr>
      </w:pPr>
    </w:p>
    <w:p w:rsidR="00777BE3" w:rsidRPr="0084053A" w:rsidRDefault="00777BE3" w:rsidP="00B06A78">
      <w:pPr>
        <w:spacing w:after="0" w:line="240" w:lineRule="auto"/>
        <w:jc w:val="both"/>
        <w:rPr>
          <w:noProof/>
          <w:lang w:eastAsia="ru-RU"/>
        </w:rPr>
      </w:pPr>
    </w:p>
    <w:p w:rsidR="00B06A78" w:rsidRDefault="006F06AB" w:rsidP="00B06A78">
      <w:pPr>
        <w:spacing w:after="0" w:line="240" w:lineRule="auto"/>
        <w:jc w:val="both"/>
      </w:pPr>
      <w:r>
        <w:t>Летом 2009 года Концепция содействия развитию благотворительности и добровольчества была утверждена Правительством РФ. Концепция стала составной частью Стратегии социально-экономического развития РФ</w:t>
      </w:r>
      <w:r w:rsidR="00B06A78">
        <w:t>,</w:t>
      </w:r>
      <w:r>
        <w:t xml:space="preserve"> и ее мероприятия были включены в общий план мероприятий по реализации мер по осуществлению стратегии социально-экономического развития РФ. </w:t>
      </w:r>
    </w:p>
    <w:p w:rsidR="00B06A78" w:rsidRDefault="00B06A78" w:rsidP="00B06A78">
      <w:pPr>
        <w:spacing w:after="0" w:line="240" w:lineRule="auto"/>
        <w:jc w:val="both"/>
      </w:pPr>
    </w:p>
    <w:p w:rsidR="002D4833" w:rsidRDefault="006F06AB" w:rsidP="008B5AA0">
      <w:pPr>
        <w:spacing w:after="0" w:line="240" w:lineRule="auto"/>
        <w:jc w:val="both"/>
      </w:pPr>
      <w:r>
        <w:t xml:space="preserve">В рамках дальнейших шагов был выработан </w:t>
      </w:r>
      <w:r w:rsidR="008B5AA0">
        <w:t>р</w:t>
      </w:r>
      <w:r>
        <w:t xml:space="preserve">яд мер по созданию условий для </w:t>
      </w:r>
      <w:r w:rsidR="002D4833">
        <w:t>реализации</w:t>
      </w:r>
      <w:r w:rsidR="008B5AA0">
        <w:t xml:space="preserve"> Концепции </w:t>
      </w:r>
      <w:r w:rsidR="002D4833">
        <w:t xml:space="preserve">в сфере развития законодательства, инфраструктуры благотворительности и </w:t>
      </w:r>
      <w:r w:rsidR="002D4833">
        <w:lastRenderedPageBreak/>
        <w:t xml:space="preserve">добровольчества и сектора некоммерческих организаций </w:t>
      </w:r>
      <w:r w:rsidR="008B5AA0">
        <w:t>(</w:t>
      </w:r>
      <w:r w:rsidR="002D4833">
        <w:t xml:space="preserve">который должен стать полноправным экономическим субъектом </w:t>
      </w:r>
      <w:r w:rsidR="00374A2B">
        <w:t xml:space="preserve">социально-экономического </w:t>
      </w:r>
      <w:r w:rsidR="002D4833">
        <w:t>развития страны</w:t>
      </w:r>
      <w:r w:rsidR="008B5AA0">
        <w:t>)</w:t>
      </w:r>
      <w:r w:rsidR="002D4833">
        <w:t>.</w:t>
      </w:r>
    </w:p>
    <w:p w:rsidR="005E6E47" w:rsidRDefault="005E6E47" w:rsidP="008B5AA0">
      <w:pPr>
        <w:spacing w:after="0" w:line="240" w:lineRule="auto"/>
        <w:jc w:val="both"/>
      </w:pPr>
    </w:p>
    <w:p w:rsidR="002D4833" w:rsidRDefault="00AE41F5" w:rsidP="008B5AA0">
      <w:pPr>
        <w:spacing w:after="0" w:line="240" w:lineRule="auto"/>
        <w:jc w:val="both"/>
      </w:pPr>
      <w:r>
        <w:t xml:space="preserve">В рамках </w:t>
      </w:r>
      <w:r w:rsidR="008B5AA0">
        <w:t>совершенствования</w:t>
      </w:r>
      <w:r>
        <w:t xml:space="preserve"> </w:t>
      </w:r>
      <w:r w:rsidR="002D4833">
        <w:t xml:space="preserve">законодательства в апреле 2010 года был принят ФЗ№40. Этот закон внес изменения в 4 федеральных закона РФ: ФЗ№7 (О некоммерческих организациях), ФЗ № </w:t>
      </w:r>
      <w:r w:rsidR="00374A2B">
        <w:t>?</w:t>
      </w:r>
      <w:r w:rsidR="002D4833">
        <w:t xml:space="preserve"> ( О региональных органах власти), ФЗ№131 ( о местном самоуправлении)</w:t>
      </w:r>
      <w:r w:rsidR="008B5AA0">
        <w:t>, ФЗ №8 (</w:t>
      </w:r>
      <w:r w:rsidR="002D4833">
        <w:t>об информации).</w:t>
      </w:r>
    </w:p>
    <w:p w:rsidR="008B5AA0" w:rsidRDefault="008B5AA0" w:rsidP="008B5AA0">
      <w:pPr>
        <w:spacing w:after="0" w:line="240" w:lineRule="auto"/>
        <w:jc w:val="both"/>
      </w:pPr>
    </w:p>
    <w:p w:rsidR="002D4833" w:rsidRDefault="002D4833" w:rsidP="008B5AA0">
      <w:pPr>
        <w:spacing w:after="0" w:line="240" w:lineRule="auto"/>
        <w:jc w:val="both"/>
      </w:pPr>
      <w:r>
        <w:t>Основные изменения заключались в следующем:</w:t>
      </w:r>
    </w:p>
    <w:p w:rsidR="005E6E47" w:rsidRDefault="006D3B4A" w:rsidP="008B5AA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Было введено понятие социально</w:t>
      </w:r>
      <w:r w:rsidR="008B5AA0">
        <w:t xml:space="preserve"> </w:t>
      </w:r>
      <w:r>
        <w:t>ориентированных орг</w:t>
      </w:r>
      <w:r w:rsidR="00374A2B">
        <w:t xml:space="preserve">анизаций. Фактически социально  </w:t>
      </w:r>
      <w:r>
        <w:t>ориентированными организациями были признаны все формы не</w:t>
      </w:r>
      <w:r w:rsidR="005E6E47">
        <w:t xml:space="preserve">коммерческих организаций (за исключением </w:t>
      </w:r>
      <w:r>
        <w:t>государственных корпораций</w:t>
      </w:r>
      <w:r w:rsidR="005E6E47">
        <w:t>, государственных компаний и общественных объединений, являющихся политическими партиями</w:t>
      </w:r>
      <w:r>
        <w:t xml:space="preserve">), которые </w:t>
      </w:r>
      <w:r w:rsidR="005E6E47">
        <w:t>занимаются решением социальных проблем и развитием гражданского общества (п.2.1 ФЗ-7), а также деятельностью, предусмотренной ст.31.1 ФЗ№7</w:t>
      </w:r>
      <w:r w:rsidR="008B5AA0">
        <w:t xml:space="preserve"> </w:t>
      </w:r>
      <w:r w:rsidR="00374A2B">
        <w:t>(О некоммерческих организациях)</w:t>
      </w:r>
      <w:r w:rsidR="005E6E47">
        <w:t>.  Допустимые виды деятельно</w:t>
      </w:r>
      <w:r w:rsidR="00374A2B">
        <w:t>сти СО НКО, претендующи</w:t>
      </w:r>
      <w:r w:rsidR="008B5AA0">
        <w:t>х</w:t>
      </w:r>
      <w:r w:rsidR="005E6E47">
        <w:t xml:space="preserve"> на поддержку </w:t>
      </w:r>
      <w:r w:rsidR="008B5AA0">
        <w:t xml:space="preserve">со стороны </w:t>
      </w:r>
      <w:r w:rsidR="005E6E47">
        <w:t>органов власти и местного самоуправления</w:t>
      </w:r>
      <w:r w:rsidR="00374A2B">
        <w:t xml:space="preserve">, </w:t>
      </w:r>
      <w:r w:rsidR="008B5AA0">
        <w:t>- это</w:t>
      </w:r>
      <w:r w:rsidR="00374A2B">
        <w:t xml:space="preserve"> виды деятельности, которые </w:t>
      </w:r>
      <w:r w:rsidR="005E6E47">
        <w:t>приведены в п.1 ст.31.1:</w:t>
      </w:r>
    </w:p>
    <w:p w:rsidR="003636F5" w:rsidRDefault="00374A2B" w:rsidP="008B5AA0">
      <w:pPr>
        <w:spacing w:after="0" w:line="240" w:lineRule="auto"/>
        <w:ind w:left="360" w:firstLine="348"/>
        <w:jc w:val="both"/>
      </w:pPr>
      <w:r>
        <w:t>1) социальная</w:t>
      </w:r>
      <w:r w:rsidR="003636F5">
        <w:t xml:space="preserve"> поддержк</w:t>
      </w:r>
      <w:r>
        <w:t>а</w:t>
      </w:r>
      <w:r w:rsidR="003636F5">
        <w:t xml:space="preserve"> и защит</w:t>
      </w:r>
      <w:r>
        <w:t>а</w:t>
      </w:r>
      <w:r w:rsidR="003636F5">
        <w:t xml:space="preserve"> граждан;</w:t>
      </w:r>
    </w:p>
    <w:p w:rsidR="003636F5" w:rsidRDefault="003636F5" w:rsidP="008B5AA0">
      <w:pPr>
        <w:spacing w:after="0" w:line="240" w:lineRule="auto"/>
        <w:ind w:left="708"/>
        <w:jc w:val="both"/>
      </w:pPr>
      <w:r>
        <w:t>2) подготовк</w:t>
      </w:r>
      <w:r w:rsidR="00374A2B">
        <w:t>а</w:t>
      </w:r>
      <w:r>
        <w:t xml:space="preserve">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636F5" w:rsidRDefault="003636F5" w:rsidP="008B5AA0">
      <w:pPr>
        <w:spacing w:after="0" w:line="240" w:lineRule="auto"/>
        <w:ind w:left="708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636F5" w:rsidRDefault="00374A2B" w:rsidP="008B5AA0">
      <w:pPr>
        <w:spacing w:after="0" w:line="240" w:lineRule="auto"/>
        <w:ind w:left="360" w:firstLine="348"/>
        <w:jc w:val="both"/>
      </w:pPr>
      <w:r>
        <w:t>4) охрана</w:t>
      </w:r>
      <w:r w:rsidR="003636F5">
        <w:t xml:space="preserve"> окружающей среды и защита животных;</w:t>
      </w:r>
    </w:p>
    <w:p w:rsidR="003636F5" w:rsidRDefault="00374A2B" w:rsidP="008B5AA0">
      <w:pPr>
        <w:spacing w:after="0" w:line="240" w:lineRule="auto"/>
        <w:ind w:left="708"/>
        <w:jc w:val="both"/>
      </w:pPr>
      <w:r>
        <w:t xml:space="preserve">5) охрана </w:t>
      </w:r>
      <w:r w:rsidR="003636F5">
        <w:t>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636F5" w:rsidRDefault="003636F5" w:rsidP="008B5AA0">
      <w:pPr>
        <w:spacing w:after="0" w:line="240" w:lineRule="auto"/>
        <w:ind w:left="708"/>
        <w:jc w:val="both"/>
      </w:pPr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636F5" w:rsidRDefault="00374A2B" w:rsidP="008B5AA0">
      <w:pPr>
        <w:spacing w:after="0" w:line="240" w:lineRule="auto"/>
        <w:ind w:left="708"/>
        <w:jc w:val="both"/>
      </w:pPr>
      <w:r>
        <w:t>7) профилактика</w:t>
      </w:r>
      <w:r w:rsidR="003636F5">
        <w:t xml:space="preserve"> социально опасных форм поведения граждан;</w:t>
      </w:r>
    </w:p>
    <w:p w:rsidR="003636F5" w:rsidRDefault="00374A2B" w:rsidP="008B5AA0">
      <w:pPr>
        <w:spacing w:after="0" w:line="240" w:lineRule="auto"/>
        <w:ind w:left="708"/>
        <w:jc w:val="both"/>
      </w:pPr>
      <w:r>
        <w:t>8) благотворительная</w:t>
      </w:r>
      <w:r w:rsidR="003636F5">
        <w:t xml:space="preserve"> деятельность, а также деятельность в области содействия благотворительности и добровольчеств</w:t>
      </w:r>
      <w:r w:rsidR="008B5AA0">
        <w:t>у</w:t>
      </w:r>
      <w:r w:rsidR="003636F5">
        <w:t>;</w:t>
      </w:r>
    </w:p>
    <w:p w:rsidR="003636F5" w:rsidRDefault="003636F5" w:rsidP="008B5AA0">
      <w:pPr>
        <w:spacing w:after="0" w:line="240" w:lineRule="auto"/>
        <w:ind w:left="708"/>
        <w:jc w:val="both"/>
      </w:pPr>
      <w: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</w:t>
      </w:r>
      <w:r w:rsidR="00374A2B">
        <w:t>пропаганды</w:t>
      </w:r>
      <w:r>
        <w:t xml:space="preserve">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</w:r>
      <w:r w:rsidR="008B5AA0">
        <w:t>вие духовному развитию личности;</w:t>
      </w:r>
    </w:p>
    <w:p w:rsidR="003636F5" w:rsidRDefault="003636F5" w:rsidP="008B5AA0">
      <w:pPr>
        <w:spacing w:after="0" w:line="240" w:lineRule="auto"/>
        <w:ind w:left="708"/>
        <w:jc w:val="both"/>
      </w:pPr>
      <w:r>
        <w:t>10) формирование в обществе нетерпимости к коррупционному поведению</w:t>
      </w:r>
      <w:r w:rsidR="008B5AA0">
        <w:t>;</w:t>
      </w:r>
    </w:p>
    <w:p w:rsidR="003636F5" w:rsidRDefault="003636F5" w:rsidP="008B5AA0">
      <w:pPr>
        <w:spacing w:after="0" w:line="240" w:lineRule="auto"/>
        <w:ind w:left="708"/>
        <w:jc w:val="both"/>
      </w:pPr>
      <w:r>
        <w:t>11)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8B5AA0" w:rsidRDefault="008B5AA0" w:rsidP="008B5AA0">
      <w:pPr>
        <w:spacing w:after="0" w:line="240" w:lineRule="auto"/>
        <w:ind w:left="708"/>
        <w:jc w:val="both"/>
      </w:pPr>
    </w:p>
    <w:p w:rsidR="003636F5" w:rsidRDefault="003636F5" w:rsidP="008B5AA0">
      <w:pPr>
        <w:spacing w:after="0" w:line="240" w:lineRule="auto"/>
        <w:ind w:left="708"/>
        <w:jc w:val="both"/>
      </w:pPr>
      <w:r>
        <w:t>Последние два направления  были внесены 30.12.2012 №325-ФЗ в ст. 31 №ФЗ-7 .</w:t>
      </w:r>
    </w:p>
    <w:p w:rsidR="008B5AA0" w:rsidRDefault="008B5AA0" w:rsidP="008B5AA0">
      <w:pPr>
        <w:spacing w:after="0" w:line="240" w:lineRule="auto"/>
        <w:ind w:left="708"/>
        <w:jc w:val="both"/>
      </w:pPr>
    </w:p>
    <w:p w:rsidR="003636F5" w:rsidRDefault="003636F5" w:rsidP="008B5AA0">
      <w:pPr>
        <w:spacing w:after="0" w:line="240" w:lineRule="auto"/>
        <w:ind w:left="708"/>
        <w:jc w:val="both"/>
      </w:pPr>
      <w:r>
        <w:t>Если виды деятельности, ко</w:t>
      </w:r>
      <w:r w:rsidR="00374A2B">
        <w:t>торые отражены в у</w:t>
      </w:r>
      <w:r>
        <w:t>ставе НКО и которыми она занимается на практике, не поименованы в законе, но относятся к решению социальных проблем и (или) развитию гражданского общества, то такая организация вправе считать себя социально</w:t>
      </w:r>
      <w:r w:rsidR="008B5AA0">
        <w:t xml:space="preserve"> </w:t>
      </w:r>
      <w:r>
        <w:t>ориентированной. В настоящее время иного подтверждени</w:t>
      </w:r>
      <w:r w:rsidR="003B5114">
        <w:t>я этого статуса ( в том чи</w:t>
      </w:r>
      <w:r>
        <w:t>сле и нахождения в каком-либо реестре) не требуется.</w:t>
      </w:r>
    </w:p>
    <w:p w:rsidR="008B5AA0" w:rsidRDefault="008B5AA0" w:rsidP="008B5AA0">
      <w:pPr>
        <w:spacing w:after="0" w:line="240" w:lineRule="auto"/>
        <w:ind w:left="708"/>
        <w:jc w:val="both"/>
      </w:pPr>
    </w:p>
    <w:p w:rsidR="006D3B4A" w:rsidRDefault="006D3B4A" w:rsidP="008B5AA0">
      <w:pPr>
        <w:spacing w:after="0" w:line="240" w:lineRule="auto"/>
        <w:ind w:left="708"/>
        <w:jc w:val="both"/>
      </w:pPr>
      <w:r>
        <w:t>Данный перечень, кстати</w:t>
      </w:r>
      <w:r w:rsidR="003B5114">
        <w:t xml:space="preserve">, </w:t>
      </w:r>
      <w:r>
        <w:t xml:space="preserve"> может быть расширен на региональном уровне региональным законодательством. Так произошло, например, в Новосибирской области, где перечень  направлений был существенно расширен и уточнен. </w:t>
      </w:r>
      <w:r w:rsidR="003B5114">
        <w:t xml:space="preserve"> «Проблемной» зоной здесь может стать финансовая или иная поддержка СО НКО с разного бюджетного уровня. Т.е. с </w:t>
      </w:r>
      <w:r w:rsidR="003B5114">
        <w:lastRenderedPageBreak/>
        <w:t>федерального уровня СО НКО может получить государственную поддержку</w:t>
      </w:r>
      <w:r w:rsidR="008B5AA0">
        <w:t>,</w:t>
      </w:r>
      <w:r w:rsidR="003B5114">
        <w:t xml:space="preserve"> только осуществляя те виды деятельности, которые обозначены в федеральном законодательстве. А на уровне регионов, если </w:t>
      </w:r>
      <w:r w:rsidR="008B5AA0">
        <w:t xml:space="preserve">на этом уровне </w:t>
      </w:r>
      <w:r w:rsidR="003B5114">
        <w:t>расширен перечень видов деятельности, может быть получена поддержка из средств регионального бюджета</w:t>
      </w:r>
      <w:r w:rsidR="00374A2B">
        <w:t xml:space="preserve"> и на дополнительные виды деятельности</w:t>
      </w:r>
      <w:r w:rsidR="003B5114">
        <w:t>.</w:t>
      </w:r>
      <w:r w:rsidR="00374A2B">
        <w:t xml:space="preserve"> Также необходимо отметить, что анализ приведенных видов деятельности фактически покрывает все поле общественной деятельности</w:t>
      </w:r>
      <w:r w:rsidR="008B5AA0">
        <w:t>,</w:t>
      </w:r>
      <w:r w:rsidR="00374A2B">
        <w:t xml:space="preserve"> </w:t>
      </w:r>
      <w:r w:rsidR="008B5AA0">
        <w:t>осуществляемой</w:t>
      </w:r>
      <w:r w:rsidR="00374A2B">
        <w:t xml:space="preserve"> некоммерческим</w:t>
      </w:r>
      <w:r w:rsidR="008B5AA0">
        <w:t>и</w:t>
      </w:r>
      <w:r w:rsidR="00374A2B">
        <w:t xml:space="preserve"> организациям</w:t>
      </w:r>
      <w:r w:rsidR="008B5AA0">
        <w:t>и</w:t>
      </w:r>
      <w:r w:rsidR="00374A2B">
        <w:t xml:space="preserve">. </w:t>
      </w:r>
      <w:r w:rsidR="008B5AA0" w:rsidRPr="008B5AA0">
        <w:rPr>
          <w:b/>
        </w:rPr>
        <w:t>Как с</w:t>
      </w:r>
      <w:r w:rsidR="00374A2B" w:rsidRPr="008B5AA0">
        <w:rPr>
          <w:b/>
        </w:rPr>
        <w:t>ледствие</w:t>
      </w:r>
      <w:r w:rsidR="008B5AA0">
        <w:t xml:space="preserve"> -</w:t>
      </w:r>
      <w:r w:rsidR="00374A2B">
        <w:t xml:space="preserve"> фактически все НКО (кроме </w:t>
      </w:r>
      <w:r w:rsidR="00374A2B" w:rsidRPr="00374A2B">
        <w:t>государственных корпораций, государственных компаний и общественных объединений, являющихся политическими партиями</w:t>
      </w:r>
      <w:r w:rsidR="00374A2B">
        <w:t>) являются социально ориентированными.</w:t>
      </w:r>
    </w:p>
    <w:p w:rsidR="003B5114" w:rsidRDefault="003B5114" w:rsidP="008B5AA0">
      <w:pPr>
        <w:spacing w:after="0" w:line="240" w:lineRule="auto"/>
        <w:ind w:left="708"/>
        <w:jc w:val="both"/>
      </w:pPr>
    </w:p>
    <w:p w:rsidR="003B5114" w:rsidRDefault="002B6DC2" w:rsidP="008B5AA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Была введена обязанность ведения реестров СО НКО, которые получили государственную  или муниципальную поддержку. Обязанность ведения реестров возлагается на соответствующий уровень государственной власти или муниципалитета. Реестры должны быть в свободном доступе и публиковаться в информационном</w:t>
      </w:r>
      <w:r w:rsidR="00362712">
        <w:t xml:space="preserve"> пространстве. Существенно </w:t>
      </w:r>
      <w:r>
        <w:t xml:space="preserve">то, что реестры формируются по определенной форме и после получения СО НКО государственной или муниципальной поддержки. </w:t>
      </w:r>
      <w:r w:rsidR="003B5114">
        <w:t xml:space="preserve">Правила их ведения определяет МЭР РФ (Приказ №223 от 17.05.2011). </w:t>
      </w:r>
      <w:r>
        <w:t xml:space="preserve">Введение реестров было обусловлено </w:t>
      </w:r>
      <w:r w:rsidR="008B5AA0">
        <w:t>требованием к большей прозрачности</w:t>
      </w:r>
      <w:r w:rsidR="00374A2B">
        <w:t xml:space="preserve"> процедур государственной </w:t>
      </w:r>
      <w:r w:rsidR="00AE41F5">
        <w:t xml:space="preserve">поддержки и фактически являлось усилением </w:t>
      </w:r>
      <w:r w:rsidR="003B5114">
        <w:t xml:space="preserve"> государственных </w:t>
      </w:r>
      <w:r w:rsidR="00AE41F5">
        <w:t>мер по</w:t>
      </w:r>
      <w:r w:rsidR="003B5114">
        <w:t xml:space="preserve"> </w:t>
      </w:r>
      <w:r w:rsidR="00AE41F5">
        <w:t xml:space="preserve"> антикоррупционной деятельности </w:t>
      </w:r>
      <w:r>
        <w:t>.</w:t>
      </w:r>
    </w:p>
    <w:p w:rsidR="002B6DC2" w:rsidRDefault="003B5114" w:rsidP="008B5AA0">
      <w:pPr>
        <w:pStyle w:val="a3"/>
        <w:spacing w:after="0" w:line="240" w:lineRule="auto"/>
        <w:jc w:val="both"/>
      </w:pPr>
      <w:r w:rsidRPr="003B5114">
        <w:t xml:space="preserve">Информация, содержащаяся в реестрах социально ориентированных НКО-получателей поддержки, является открытой для всеобщего ознакомления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 </w:t>
      </w:r>
      <w:r w:rsidR="002B6DC2">
        <w:t xml:space="preserve"> </w:t>
      </w:r>
    </w:p>
    <w:p w:rsidR="009730CA" w:rsidRDefault="009730CA" w:rsidP="008B5AA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Органы федеральной, региональной и муниципальной власти наделены полномочиями поддерживать СО НКО. Формы такой поддержки определены ст.31.3 ФЗ</w:t>
      </w:r>
      <w:r w:rsidR="002B6DC2">
        <w:t xml:space="preserve"> </w:t>
      </w:r>
      <w:r>
        <w:t>№7 (введены ФЗ №40-ФЗ от 05.04.2010):</w:t>
      </w:r>
    </w:p>
    <w:p w:rsidR="009730CA" w:rsidRDefault="009730CA" w:rsidP="008B5AA0">
      <w:pPr>
        <w:pStyle w:val="a3"/>
        <w:spacing w:after="0" w:line="240" w:lineRule="auto"/>
        <w:jc w:val="both"/>
      </w:pPr>
      <w:r>
        <w:t>1)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НКО;</w:t>
      </w:r>
    </w:p>
    <w:p w:rsidR="009730CA" w:rsidRDefault="009730CA" w:rsidP="008B5AA0">
      <w:pPr>
        <w:pStyle w:val="a3"/>
        <w:spacing w:after="0" w:line="240" w:lineRule="auto"/>
        <w:jc w:val="both"/>
      </w:pPr>
      <w:r>
        <w:t>2) предоставление социально ориентированным НКО льгот по уплате налогов и сборов в соответствии с законодательством о налогах и сборах;</w:t>
      </w:r>
    </w:p>
    <w:p w:rsidR="009730CA" w:rsidRDefault="009730CA" w:rsidP="008B5AA0">
      <w:pPr>
        <w:pStyle w:val="a3"/>
        <w:spacing w:after="0" w:line="240" w:lineRule="auto"/>
        <w:jc w:val="both"/>
      </w:pPr>
      <w:r>
        <w:t xml:space="preserve">3) размещение у социально ориентированных НКО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</w:t>
      </w:r>
      <w:r w:rsidR="001F319E">
        <w:t>«</w:t>
      </w:r>
      <w:r>
        <w:t>О размещении заказов на поставки товаров, выполнение работ, оказание услуг для государственных и муниципальных нужд</w:t>
      </w:r>
      <w:r w:rsidR="001F319E">
        <w:t>»</w:t>
      </w:r>
      <w:r>
        <w:t>;</w:t>
      </w:r>
    </w:p>
    <w:p w:rsidR="001F319E" w:rsidRDefault="001F319E" w:rsidP="008B5AA0">
      <w:pPr>
        <w:pStyle w:val="a3"/>
        <w:spacing w:after="0" w:line="240" w:lineRule="auto"/>
        <w:jc w:val="both"/>
        <w:rPr>
          <w:i/>
        </w:rPr>
      </w:pPr>
    </w:p>
    <w:p w:rsidR="00265D8C" w:rsidRPr="006F34AC" w:rsidRDefault="00265D8C" w:rsidP="008B5AA0">
      <w:pPr>
        <w:pStyle w:val="a3"/>
        <w:spacing w:after="0" w:line="240" w:lineRule="auto"/>
        <w:jc w:val="both"/>
        <w:rPr>
          <w:i/>
        </w:rPr>
      </w:pPr>
      <w:r w:rsidRPr="006F34AC">
        <w:rPr>
          <w:i/>
        </w:rPr>
        <w:t>Из бюджетного послания Президента РФ о бюджетной политике на 2013-2015 годы</w:t>
      </w:r>
      <w:r w:rsidR="001F319E">
        <w:rPr>
          <w:i/>
        </w:rPr>
        <w:t>:</w:t>
      </w:r>
    </w:p>
    <w:p w:rsidR="00265D8C" w:rsidRPr="006F34AC" w:rsidRDefault="00265D8C" w:rsidP="008B5AA0">
      <w:pPr>
        <w:pStyle w:val="a3"/>
        <w:spacing w:after="0" w:line="240" w:lineRule="auto"/>
        <w:jc w:val="both"/>
        <w:rPr>
          <w:i/>
        </w:rPr>
      </w:pPr>
      <w:r w:rsidRPr="006F34AC">
        <w:rPr>
          <w:i/>
        </w:rPr>
        <w:t>«</w:t>
      </w:r>
      <w:r w:rsidR="006F34AC" w:rsidRPr="006F34AC">
        <w:rPr>
          <w:i/>
        </w:rPr>
        <w:t>П</w:t>
      </w:r>
      <w:r w:rsidRPr="006F34AC">
        <w:rPr>
          <w:i/>
        </w:rPr>
        <w:t xml:space="preserve">ри предоставлении государственных и муниципальных услуг </w:t>
      </w:r>
      <w:r w:rsidRPr="006F34AC">
        <w:rPr>
          <w:b/>
          <w:i/>
        </w:rPr>
        <w:t xml:space="preserve">недопустимо </w:t>
      </w:r>
      <w:r w:rsidRPr="006F34AC">
        <w:rPr>
          <w:i/>
        </w:rPr>
        <w:t>ориентироваться исключительно на возможности государственных и муниципальных учреждений. Если необходима</w:t>
      </w:r>
      <w:r w:rsidR="006F34AC" w:rsidRPr="006F34AC">
        <w:rPr>
          <w:i/>
        </w:rPr>
        <w:t>я</w:t>
      </w:r>
      <w:r w:rsidRPr="006F34AC">
        <w:rPr>
          <w:i/>
        </w:rPr>
        <w:t xml:space="preserve"> услуга </w:t>
      </w:r>
      <w:r w:rsidR="006F34AC" w:rsidRPr="006F34AC">
        <w:rPr>
          <w:i/>
        </w:rPr>
        <w:t>может быть предоставлена за те же деньги и более качественно частными организациями, то у них ее и следует заказывать. Граждане должны иметь возможность выбора организации, предоставляющей  услуги за счет бюджетных средств»</w:t>
      </w:r>
      <w:r w:rsidR="001F319E">
        <w:rPr>
          <w:i/>
        </w:rPr>
        <w:t>.</w:t>
      </w:r>
    </w:p>
    <w:p w:rsidR="009730CA" w:rsidRDefault="009730CA" w:rsidP="008B5AA0">
      <w:pPr>
        <w:pStyle w:val="a3"/>
        <w:spacing w:after="0" w:line="240" w:lineRule="auto"/>
        <w:jc w:val="both"/>
      </w:pPr>
      <w:r>
        <w:t>4) предоставление юридическим лицам, оказывающим социально ориентированным НКО материальную поддержку, льгот по уплате налогов и сборов в соответствии с законодательством о налогах и сборах.</w:t>
      </w:r>
    </w:p>
    <w:p w:rsidR="009730CA" w:rsidRDefault="009730CA" w:rsidP="008B5AA0">
      <w:pPr>
        <w:pStyle w:val="a3"/>
        <w:spacing w:after="0" w:line="240" w:lineRule="auto"/>
        <w:jc w:val="both"/>
      </w:pPr>
      <w:r>
        <w:t xml:space="preserve">*  </w:t>
      </w:r>
      <w:r w:rsidRPr="001F319E">
        <w:rPr>
          <w:b/>
        </w:rPr>
        <w:t>Важно</w:t>
      </w:r>
      <w:r>
        <w:t>!  Органы государственной власти и органы местного самоуправления в приоритетном порядке оказывают поддержку социально ориентированным НКО;</w:t>
      </w:r>
    </w:p>
    <w:p w:rsidR="009730CA" w:rsidRDefault="009730CA" w:rsidP="008B5AA0">
      <w:pPr>
        <w:pStyle w:val="a3"/>
        <w:spacing w:after="0" w:line="240" w:lineRule="auto"/>
        <w:jc w:val="both"/>
      </w:pPr>
      <w:r>
        <w:t xml:space="preserve">** </w:t>
      </w:r>
      <w:r w:rsidRPr="001F319E">
        <w:rPr>
          <w:b/>
        </w:rPr>
        <w:t>Важно!</w:t>
      </w:r>
      <w:r>
        <w:t xml:space="preserve"> Не допускается предоставление льгот по уплате налогов и сборов в индивидуальном порядке отдельным НКО, а также отдельным гражданам и юридическим лицам, оказывающим этим НКО материальную поддержку. </w:t>
      </w:r>
    </w:p>
    <w:p w:rsidR="002B6DC2" w:rsidRDefault="009730CA" w:rsidP="008B5AA0">
      <w:pPr>
        <w:pStyle w:val="a3"/>
        <w:spacing w:after="0" w:line="240" w:lineRule="auto"/>
        <w:jc w:val="both"/>
      </w:pPr>
      <w:r>
        <w:lastRenderedPageBreak/>
        <w:t xml:space="preserve">*** </w:t>
      </w:r>
      <w:r w:rsidRPr="001F319E">
        <w:rPr>
          <w:b/>
        </w:rPr>
        <w:t>Важно!</w:t>
      </w:r>
      <w:r>
        <w:t xml:space="preserve"> За счет средств бюджетов региональной и местной власти допускается оказание поддержки СО НКО в иных формах. Можно поддерживать как деятельность организации в целом, так и отдельные проекты</w:t>
      </w:r>
      <w:r w:rsidR="00E805A7">
        <w:t xml:space="preserve"> </w:t>
      </w:r>
      <w:r>
        <w:t>- лучшие практики.</w:t>
      </w:r>
      <w:r w:rsidR="002B6DC2">
        <w:t xml:space="preserve"> </w:t>
      </w:r>
    </w:p>
    <w:p w:rsidR="002B167C" w:rsidRDefault="002B167C" w:rsidP="008B5AA0">
      <w:pPr>
        <w:pStyle w:val="a3"/>
        <w:spacing w:after="0" w:line="240" w:lineRule="auto"/>
        <w:jc w:val="both"/>
      </w:pPr>
    </w:p>
    <w:p w:rsidR="002B167C" w:rsidRDefault="002B167C" w:rsidP="008B5AA0">
      <w:pPr>
        <w:pStyle w:val="a3"/>
        <w:spacing w:after="0" w:line="240" w:lineRule="auto"/>
        <w:jc w:val="both"/>
      </w:pPr>
      <w:r>
        <w:t>Федеральный закон  №40-ФЗ ввел особые условия имущественной поддержки СО НКО.</w:t>
      </w:r>
    </w:p>
    <w:p w:rsidR="002B167C" w:rsidRDefault="002B167C" w:rsidP="008B5AA0">
      <w:pPr>
        <w:pStyle w:val="a3"/>
        <w:spacing w:after="0" w:line="240" w:lineRule="auto"/>
        <w:jc w:val="both"/>
      </w:pPr>
    </w:p>
    <w:p w:rsidR="002B167C" w:rsidRDefault="002B167C" w:rsidP="008B5AA0">
      <w:pPr>
        <w:pStyle w:val="a3"/>
        <w:spacing w:after="0" w:line="240" w:lineRule="auto"/>
        <w:jc w:val="both"/>
      </w:pPr>
      <w:r>
        <w:t>Федеральные органы исполнительной власти, органы исполнительной власти субъектов РФ и местные администрации вправе утверждать перечни государственного и муниципального имущества, свободного от прав третьих лиц (за исключением имущественных прав НКО).</w:t>
      </w:r>
    </w:p>
    <w:p w:rsidR="001F319E" w:rsidRDefault="001F319E" w:rsidP="008B5AA0">
      <w:pPr>
        <w:pStyle w:val="a3"/>
        <w:spacing w:after="0" w:line="240" w:lineRule="auto"/>
        <w:jc w:val="both"/>
      </w:pPr>
    </w:p>
    <w:p w:rsidR="002B167C" w:rsidRDefault="002B167C" w:rsidP="008B5AA0">
      <w:pPr>
        <w:pStyle w:val="a3"/>
        <w:spacing w:after="0" w:line="240" w:lineRule="auto"/>
        <w:jc w:val="both"/>
      </w:pPr>
      <w:r>
        <w:t>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НКО.</w:t>
      </w:r>
    </w:p>
    <w:p w:rsidR="001F319E" w:rsidRDefault="001F319E" w:rsidP="008B5AA0">
      <w:pPr>
        <w:pStyle w:val="a3"/>
        <w:spacing w:after="0" w:line="240" w:lineRule="auto"/>
        <w:jc w:val="both"/>
      </w:pPr>
    </w:p>
    <w:p w:rsidR="002B167C" w:rsidRDefault="002B167C" w:rsidP="008B5AA0">
      <w:pPr>
        <w:pStyle w:val="a3"/>
        <w:spacing w:after="0" w:line="240" w:lineRule="auto"/>
        <w:jc w:val="both"/>
      </w:pPr>
      <w:r>
        <w:t>Перечни имущества подлежат обязательному опубликованию в средствах массовой информации, а также размещению в информационно-телекоммуникационной сети Интернет на официальных сайтах утвердивших их федеральных органов исполнительной власти, органов исполнительной власти субъектов РФ, местных администраций.</w:t>
      </w:r>
    </w:p>
    <w:p w:rsidR="001F319E" w:rsidRDefault="001F319E" w:rsidP="008B5AA0">
      <w:pPr>
        <w:pStyle w:val="a3"/>
        <w:spacing w:after="0" w:line="240" w:lineRule="auto"/>
        <w:jc w:val="both"/>
      </w:pPr>
    </w:p>
    <w:p w:rsidR="002B167C" w:rsidRDefault="002B167C" w:rsidP="008B5AA0">
      <w:pPr>
        <w:pStyle w:val="a3"/>
        <w:spacing w:after="0" w:line="240" w:lineRule="auto"/>
        <w:jc w:val="both"/>
      </w:pPr>
      <w:r>
        <w:t>Государственное и муниципальное имущество, включенное в перечни, предусмотренные пунктом 7 настоящей статьи, не подлежит отчуждению в частную собственность, в том числе в собственность НКО, арендующих это имущество.</w:t>
      </w:r>
    </w:p>
    <w:p w:rsidR="001F319E" w:rsidRDefault="001F319E" w:rsidP="008B5AA0">
      <w:pPr>
        <w:pStyle w:val="a3"/>
        <w:spacing w:after="0" w:line="240" w:lineRule="auto"/>
        <w:jc w:val="both"/>
      </w:pPr>
    </w:p>
    <w:p w:rsidR="002B167C" w:rsidRDefault="002B167C" w:rsidP="008B5AA0">
      <w:pPr>
        <w:pStyle w:val="a3"/>
        <w:spacing w:after="0" w:line="240" w:lineRule="auto"/>
        <w:jc w:val="both"/>
      </w:pPr>
      <w:r>
        <w:t>Запрещаются продажа переданного социально ориентированным НКО государственного или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B167C" w:rsidRDefault="002B167C" w:rsidP="008B5AA0">
      <w:pPr>
        <w:pStyle w:val="a3"/>
        <w:spacing w:after="0" w:line="240" w:lineRule="auto"/>
        <w:jc w:val="both"/>
      </w:pPr>
      <w:r>
        <w:t xml:space="preserve">* </w:t>
      </w:r>
      <w:r w:rsidRPr="001F319E">
        <w:rPr>
          <w:b/>
        </w:rPr>
        <w:t>Важно!</w:t>
      </w:r>
      <w:r>
        <w:t xml:space="preserve"> Федеральные органы исполнительной власти, органы исполнительной власти субъектов РФ и местные администрации, оказавшие имущественную поддержку социально ориентированным НКО, вправе обратиться в арбитражный суд с требованием о прекращении прав владения и (или) пользования социально ориентированными НКО предоставленным им государственным или муниципальным имуществом при его использовании не по целевому назначению и (или) с нарушением запретов и ограничений.</w:t>
      </w:r>
    </w:p>
    <w:p w:rsidR="001F319E" w:rsidRDefault="001F319E" w:rsidP="008B5AA0">
      <w:pPr>
        <w:pStyle w:val="a3"/>
        <w:spacing w:after="0" w:line="240" w:lineRule="auto"/>
        <w:jc w:val="both"/>
      </w:pPr>
    </w:p>
    <w:p w:rsidR="00265D8C" w:rsidRDefault="00E805A7" w:rsidP="008B5AA0">
      <w:pPr>
        <w:pStyle w:val="a3"/>
        <w:spacing w:after="0" w:line="240" w:lineRule="auto"/>
        <w:jc w:val="both"/>
      </w:pPr>
      <w:r>
        <w:t>Федеральный закон ФЗ№-40 ввел и особенности и</w:t>
      </w:r>
      <w:r w:rsidR="00265D8C">
        <w:t>нформационн</w:t>
      </w:r>
      <w:r>
        <w:t>ой</w:t>
      </w:r>
      <w:r w:rsidR="00265D8C">
        <w:t xml:space="preserve"> поддержк</w:t>
      </w:r>
      <w:r>
        <w:t>и:</w:t>
      </w:r>
    </w:p>
    <w:p w:rsidR="001F319E" w:rsidRDefault="001F319E" w:rsidP="008B5AA0">
      <w:pPr>
        <w:spacing w:after="0" w:line="240" w:lineRule="auto"/>
        <w:ind w:left="708"/>
        <w:jc w:val="both"/>
      </w:pPr>
    </w:p>
    <w:p w:rsidR="00265D8C" w:rsidRDefault="00265D8C" w:rsidP="008B5AA0">
      <w:pPr>
        <w:spacing w:after="0" w:line="240" w:lineRule="auto"/>
        <w:ind w:left="708"/>
        <w:jc w:val="both"/>
      </w:pPr>
      <w:r>
        <w:t>О</w:t>
      </w:r>
      <w:r w:rsidRPr="00265D8C">
        <w:t>казание информационной поддержки социально ориентированным НКО осуществляется органами государственной власти и органами местного самоуправления путем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НКО.</w:t>
      </w:r>
    </w:p>
    <w:p w:rsidR="001F319E" w:rsidRDefault="001F319E" w:rsidP="008B5AA0">
      <w:pPr>
        <w:spacing w:after="0" w:line="240" w:lineRule="auto"/>
        <w:ind w:left="708"/>
        <w:jc w:val="both"/>
      </w:pPr>
    </w:p>
    <w:p w:rsidR="00265D8C" w:rsidRDefault="00265D8C" w:rsidP="008B5AA0">
      <w:pPr>
        <w:spacing w:after="0" w:line="240" w:lineRule="auto"/>
        <w:ind w:left="708"/>
        <w:jc w:val="both"/>
      </w:pPr>
      <w:r>
        <w:t xml:space="preserve">Таким образом законодательство закрепило имеющуюся в регионах и муниципалитетах ( в </w:t>
      </w:r>
      <w:proofErr w:type="spellStart"/>
      <w:r>
        <w:t>т.ч</w:t>
      </w:r>
      <w:proofErr w:type="spellEnd"/>
      <w:r>
        <w:t>. в Сибири) имеющуюся практику финансовой, имущественной</w:t>
      </w:r>
      <w:r w:rsidR="00E805A7">
        <w:t>, информационной</w:t>
      </w:r>
      <w:r>
        <w:t xml:space="preserve"> поддержки некоммерческих организаций и других форм.</w:t>
      </w:r>
    </w:p>
    <w:p w:rsidR="001F319E" w:rsidRDefault="001F319E" w:rsidP="008B5AA0">
      <w:pPr>
        <w:spacing w:after="0" w:line="240" w:lineRule="auto"/>
        <w:ind w:left="708"/>
        <w:jc w:val="both"/>
      </w:pPr>
    </w:p>
    <w:p w:rsidR="00265D8C" w:rsidRDefault="00265D8C" w:rsidP="008B5AA0">
      <w:pPr>
        <w:spacing w:after="0" w:line="240" w:lineRule="auto"/>
        <w:ind w:left="708"/>
        <w:jc w:val="both"/>
      </w:pPr>
      <w:r>
        <w:t xml:space="preserve">Постановлением №1478 Правительства РФ от 30.12.2012 утверждены правила формирования, ведения и обязательного опубликования перечня федерального имущества, которое может быть предоставлено СО НКО во владение и (или) в пользование </w:t>
      </w:r>
      <w:r>
        <w:lastRenderedPageBreak/>
        <w:t xml:space="preserve">на долгосрочной основе. Реализация постановления осуществляется МЭР РФ и </w:t>
      </w:r>
      <w:r w:rsidR="00087F91">
        <w:t>Федеральным агентством по управлению государственным имуществом.</w:t>
      </w:r>
    </w:p>
    <w:p w:rsidR="00087F91" w:rsidRDefault="00087F91" w:rsidP="008B5AA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Федеральный закон №40-ФЗ закрепил п</w:t>
      </w:r>
      <w:r w:rsidR="00265D8C">
        <w:t>олномочия</w:t>
      </w:r>
      <w:r>
        <w:t xml:space="preserve"> органов государственной власти и местного самоуправления по решению вопросов поддержки социально ориентированных НКО.</w:t>
      </w:r>
    </w:p>
    <w:p w:rsidR="00265D8C" w:rsidRDefault="00087F91" w:rsidP="008B5AA0">
      <w:pPr>
        <w:pStyle w:val="a3"/>
        <w:spacing w:after="0" w:line="240" w:lineRule="auto"/>
        <w:jc w:val="both"/>
      </w:pPr>
      <w:r w:rsidRPr="001F319E">
        <w:rPr>
          <w:i/>
        </w:rPr>
        <w:t>Полномочия органов государственной власти</w:t>
      </w:r>
      <w:r>
        <w:t xml:space="preserve">: 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1) формирование и осуществление государственной политики в области поддержки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2) разработка и реализация федеральных программ поддержки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3) мониторинг и анализ финансовых, экономических, социальных и иных показателей деятельности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4) формирование единой информационной системы в целях реализации государственной политики в области поддержки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5) финансирование научно-исследовательских и опытно-конструкторских работ по проблемам деятельности и развития социально ориентированных НКО за счет бюджетных ассигнований федерального бюджета на поддержку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6) пропаганда и популяризация деятельности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7) содействие региональным программам поддержки социально ориентированных НКО;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 xml:space="preserve"> 8) организация официального статистического учета социально ориентированных НКО, определение порядка проведения выборочных статистических наблюдений за их деятельностью в Российской Федерации;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10) методическое обеспечение органов государственной власти субъектов РФ,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РФ и на территориях муниципальных образований;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11) установление порядка ведения реестров социально ориентированных НКО</w:t>
      </w:r>
      <w:r w:rsidR="001F319E">
        <w:t>-</w:t>
      </w:r>
      <w:r>
        <w:t>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87F91" w:rsidRDefault="00087F91" w:rsidP="008B5AA0">
      <w:pPr>
        <w:pStyle w:val="a3"/>
        <w:spacing w:after="0" w:line="240" w:lineRule="auto"/>
        <w:jc w:val="both"/>
      </w:pPr>
      <w:r>
        <w:t>12) формирование инфраструктуры поддержки социально ориентированных НКО.</w:t>
      </w:r>
    </w:p>
    <w:p w:rsidR="00144E01" w:rsidRDefault="00144E01" w:rsidP="008B5AA0">
      <w:pPr>
        <w:pStyle w:val="a3"/>
        <w:spacing w:after="0" w:line="240" w:lineRule="auto"/>
        <w:jc w:val="both"/>
      </w:pPr>
    </w:p>
    <w:p w:rsidR="00C93320" w:rsidRDefault="00144E01" w:rsidP="008B5AA0">
      <w:pPr>
        <w:pStyle w:val="a3"/>
        <w:spacing w:after="0" w:line="240" w:lineRule="auto"/>
        <w:jc w:val="both"/>
      </w:pPr>
      <w:r w:rsidRPr="00144E01">
        <w:t>Определять государственную политику в сфере поддержки социально</w:t>
      </w:r>
      <w:r w:rsidR="001F319E">
        <w:t xml:space="preserve"> </w:t>
      </w:r>
      <w:r w:rsidRPr="00144E01">
        <w:t xml:space="preserve">ориентированных НКО, в </w:t>
      </w:r>
      <w:proofErr w:type="spellStart"/>
      <w:r w:rsidRPr="00144E01">
        <w:t>т.ч</w:t>
      </w:r>
      <w:proofErr w:type="spellEnd"/>
      <w:r w:rsidRPr="00144E01">
        <w:t>.</w:t>
      </w:r>
      <w:r w:rsidR="00E805A7">
        <w:t xml:space="preserve"> </w:t>
      </w:r>
      <w:r w:rsidRPr="00144E01">
        <w:t>разрабатывать нормативно-правовые акты</w:t>
      </w:r>
      <w:r w:rsidR="00E805A7">
        <w:t xml:space="preserve"> и методические материалы,</w:t>
      </w:r>
      <w:r w:rsidR="00366FB5">
        <w:t xml:space="preserve"> </w:t>
      </w:r>
      <w:r w:rsidRPr="00144E01">
        <w:t xml:space="preserve"> уполномочено Министерство экономического развития РФ.</w:t>
      </w:r>
    </w:p>
    <w:p w:rsidR="00144E01" w:rsidRDefault="00144E01" w:rsidP="008B5AA0">
      <w:pPr>
        <w:pStyle w:val="a3"/>
        <w:spacing w:after="0" w:line="240" w:lineRule="auto"/>
        <w:jc w:val="both"/>
      </w:pPr>
    </w:p>
    <w:p w:rsidR="00087F91" w:rsidRPr="001F319E" w:rsidRDefault="00C93320" w:rsidP="008B5AA0">
      <w:pPr>
        <w:pStyle w:val="a3"/>
        <w:spacing w:after="0" w:line="240" w:lineRule="auto"/>
        <w:jc w:val="both"/>
        <w:rPr>
          <w:i/>
        </w:rPr>
      </w:pPr>
      <w:r w:rsidRPr="001F319E">
        <w:rPr>
          <w:i/>
        </w:rPr>
        <w:t>Полномочия  органов госуда</w:t>
      </w:r>
      <w:r w:rsidR="00087F91" w:rsidRPr="001F319E">
        <w:rPr>
          <w:i/>
        </w:rPr>
        <w:t>р</w:t>
      </w:r>
      <w:r w:rsidRPr="001F319E">
        <w:rPr>
          <w:i/>
        </w:rPr>
        <w:t>ст</w:t>
      </w:r>
      <w:r w:rsidR="00087F91" w:rsidRPr="001F319E">
        <w:rPr>
          <w:i/>
        </w:rPr>
        <w:t>венной власти</w:t>
      </w:r>
      <w:r w:rsidRPr="001F319E">
        <w:rPr>
          <w:i/>
        </w:rPr>
        <w:t xml:space="preserve"> субъектов РФ</w:t>
      </w:r>
      <w:r w:rsidR="001F319E">
        <w:rPr>
          <w:i/>
        </w:rPr>
        <w:t>: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1) участие в осуществлении государственной политики в области поддержки социально ориентированных НКО;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2) разработка и реализация региональных и межмуниципальных программ поддержки социально ориентированных НКО с учетом социально-экономических, экологических, культурных и других особенностей;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3) финансирование научно-исследовательских и опытно-конструкторских работ по проблемам деятельности и развития социально ориентированных НКО за счет бюджетных ассигнований бюджетов субъектов РФ на поддержку социально ориентированных НКО;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4) содействие развитию межрегионального сотрудничества социально ориентированных НКО;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5) пропаганда и популяризация деятельности социально ориентированных НКО за счет бюджетных ассигнований бюджетов субъектов РФ на соответствующий год;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6) содействие муниципальным программам поддержки социально ориентированных НКО;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НКО в субъектах РФ, прогноз их дальнейшего развития;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lastRenderedPageBreak/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НКО на террит</w:t>
      </w:r>
      <w:r w:rsidR="001F319E">
        <w:t>ориях муниципальных образований.</w:t>
      </w:r>
    </w:p>
    <w:p w:rsidR="00C93320" w:rsidRDefault="00C93320" w:rsidP="008B5AA0">
      <w:pPr>
        <w:pStyle w:val="a3"/>
        <w:spacing w:after="0" w:line="240" w:lineRule="auto"/>
        <w:jc w:val="both"/>
      </w:pPr>
    </w:p>
    <w:p w:rsidR="00C93320" w:rsidRPr="001F319E" w:rsidRDefault="00C93320" w:rsidP="008B5AA0">
      <w:pPr>
        <w:pStyle w:val="a3"/>
        <w:spacing w:after="0" w:line="240" w:lineRule="auto"/>
        <w:jc w:val="both"/>
        <w:rPr>
          <w:i/>
        </w:rPr>
      </w:pPr>
      <w:r w:rsidRPr="001F319E">
        <w:rPr>
          <w:i/>
        </w:rPr>
        <w:t>Полномочия органов местного самоуправления</w:t>
      </w:r>
      <w:r w:rsidR="001F319E">
        <w:rPr>
          <w:i/>
        </w:rPr>
        <w:t>: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1) разработка и реализация муниципальных программ поддержки социально ориентированных НКО с учетом местных социально-экономических, экологических, культурных и других особенностей;</w:t>
      </w:r>
    </w:p>
    <w:p w:rsidR="00C93320" w:rsidRDefault="00C93320" w:rsidP="008B5AA0">
      <w:pPr>
        <w:pStyle w:val="a3"/>
        <w:spacing w:after="0" w:line="240" w:lineRule="auto"/>
        <w:jc w:val="both"/>
      </w:pPr>
      <w:r>
        <w:t>2) анализ финансовых, экономических, социальных и иных показателей деятельности социально ориентированных НКО, оценка эффективности мер, направленных на развитие социально ориентированных НКО на террит</w:t>
      </w:r>
      <w:r w:rsidR="001F319E">
        <w:t>ориях муниципальных образований.</w:t>
      </w:r>
    </w:p>
    <w:p w:rsidR="00366FB5" w:rsidRDefault="00366FB5" w:rsidP="008B5AA0">
      <w:pPr>
        <w:pStyle w:val="a3"/>
        <w:spacing w:after="0" w:line="240" w:lineRule="auto"/>
        <w:jc w:val="both"/>
      </w:pPr>
    </w:p>
    <w:p w:rsidR="00366FB5" w:rsidRDefault="00366FB5" w:rsidP="008B5AA0">
      <w:pPr>
        <w:pStyle w:val="a3"/>
        <w:spacing w:after="0" w:line="240" w:lineRule="auto"/>
        <w:jc w:val="both"/>
      </w:pPr>
      <w:r>
        <w:t>После принятия Федерального закона №40-ФЗ правительство разработа</w:t>
      </w:r>
      <w:r w:rsidR="001F319E">
        <w:t>ло</w:t>
      </w:r>
      <w:r>
        <w:t xml:space="preserve"> ряд мер по реализации основных положений закона.</w:t>
      </w:r>
    </w:p>
    <w:p w:rsidR="001F319E" w:rsidRDefault="001F319E" w:rsidP="008B5AA0">
      <w:pPr>
        <w:pStyle w:val="a3"/>
        <w:spacing w:after="0" w:line="240" w:lineRule="auto"/>
        <w:jc w:val="both"/>
      </w:pPr>
    </w:p>
    <w:p w:rsidR="00366FB5" w:rsidRDefault="00366FB5" w:rsidP="008B5AA0">
      <w:pPr>
        <w:pStyle w:val="a3"/>
        <w:spacing w:after="0" w:line="240" w:lineRule="auto"/>
        <w:jc w:val="both"/>
      </w:pPr>
      <w:r>
        <w:t>Были сформулированы цели государственн</w:t>
      </w:r>
      <w:r w:rsidR="001F319E">
        <w:t>ой</w:t>
      </w:r>
      <w:r>
        <w:t xml:space="preserve"> политик</w:t>
      </w:r>
      <w:r w:rsidR="001F319E">
        <w:t>и</w:t>
      </w:r>
      <w:r>
        <w:t xml:space="preserve"> по поддержке СО НКО:</w:t>
      </w:r>
    </w:p>
    <w:p w:rsidR="001F319E" w:rsidRDefault="001F319E" w:rsidP="008B5AA0">
      <w:pPr>
        <w:pStyle w:val="a3"/>
        <w:spacing w:after="0" w:line="240" w:lineRule="auto"/>
        <w:jc w:val="both"/>
      </w:pPr>
      <w:r>
        <w:t xml:space="preserve">- </w:t>
      </w:r>
      <w:r w:rsidR="00366FB5">
        <w:t>увеличение объема и повышение качества социальных услуг, оказываемых гражданам, в том числе посредством развития конкуренции за бюджетное финансирование в социальной сфере, независимой оценки качества услуг, внедрения инновационных социальных технологий, увеличения мер по профилактике и содействию выходу граждан из трудной жизненной ситуации;</w:t>
      </w:r>
      <w:r>
        <w:t xml:space="preserve"> </w:t>
      </w:r>
    </w:p>
    <w:p w:rsidR="00366FB5" w:rsidRDefault="001F319E" w:rsidP="008B5AA0">
      <w:pPr>
        <w:pStyle w:val="a3"/>
        <w:spacing w:after="0" w:line="240" w:lineRule="auto"/>
        <w:jc w:val="both"/>
      </w:pPr>
      <w:r>
        <w:t xml:space="preserve">- </w:t>
      </w:r>
      <w:r w:rsidR="00366FB5" w:rsidRPr="00366FB5">
        <w:t>повышение качества государственного и муниципального управления</w:t>
      </w:r>
      <w:r w:rsidR="00107C45">
        <w:t>.</w:t>
      </w:r>
    </w:p>
    <w:p w:rsidR="00E805A7" w:rsidRDefault="00E805A7" w:rsidP="008B5AA0">
      <w:pPr>
        <w:pStyle w:val="a3"/>
        <w:spacing w:after="0" w:line="240" w:lineRule="auto"/>
        <w:jc w:val="both"/>
      </w:pPr>
    </w:p>
    <w:p w:rsidR="00366FB5" w:rsidRDefault="00366FB5" w:rsidP="008B5AA0">
      <w:pPr>
        <w:pStyle w:val="a3"/>
        <w:spacing w:after="0" w:line="240" w:lineRule="auto"/>
        <w:jc w:val="both"/>
      </w:pPr>
      <w:r>
        <w:t>Были внесены изменения в законодательство РФ по вопросам деятельности некоммерческих организаций в 2011 и 2012 гг.</w:t>
      </w:r>
    </w:p>
    <w:p w:rsidR="002B7F5C" w:rsidRDefault="002B7F5C" w:rsidP="008B5AA0">
      <w:pPr>
        <w:pStyle w:val="a3"/>
        <w:spacing w:after="0" w:line="240" w:lineRule="auto"/>
        <w:jc w:val="both"/>
        <w:rPr>
          <w:highlight w:val="yellow"/>
        </w:rPr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С 2011 года: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существенно расширен</w:t>
      </w:r>
      <w:r>
        <w:t xml:space="preserve"> перечень целей благотворительной деятельности;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введено</w:t>
      </w:r>
      <w:r>
        <w:t xml:space="preserve"> понятие «добровольцы», которыми признаются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установлены</w:t>
      </w:r>
      <w:r>
        <w:t xml:space="preserve"> правовые основы осуществления добровольческой деятельности;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освобождено</w:t>
      </w:r>
      <w:r>
        <w:t xml:space="preserve"> от обложения страховыми взносами в государственные внебюджетные фонды возмещение расходов добровольцев на питание (но не более 700 рублей в день на территории России и 2500 рублей – за ее пределами), наем жилого помещения, проезд до места назначения и обратно,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разрешено</w:t>
      </w:r>
      <w:r>
        <w:t xml:space="preserve"> упоминание в социальной рекламе социально ориентированных некоммерческих организаци</w:t>
      </w:r>
      <w:r w:rsidR="00107C45">
        <w:t>й</w:t>
      </w:r>
      <w:r>
        <w:t>, а также физических лиц, оказавшихся в трудной жизненной ситуации или нуждающихся в лечении, в целях оказания им благотворительной помощи.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С 2012 года: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введен</w:t>
      </w:r>
      <w:r>
        <w:t xml:space="preserve"> социальный налоговый вычет в сумме пожертвований, перечисленных гражданином социально ориентированны</w:t>
      </w:r>
      <w:r w:rsidR="00107C45">
        <w:t>м</w:t>
      </w:r>
      <w:r>
        <w:t xml:space="preserve"> некоммерческим организациям (включая благотворительные организации) и религиозным организациям на осуществление ими уставной деятельности, а также на формирование или пополнение целевого капитала некоммерческих организаций, но не более 25 процентов суммы дохода, полученного в налоговом периоде и подлежащего налогообложению по ставке 13 процентов;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предоставлена</w:t>
      </w:r>
      <w:r>
        <w:t xml:space="preserve"> возможность осуществлять пополнение целевого капитала некоммерческих организаций ценными бумагами и недвижимым имуществом;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цели использования</w:t>
      </w:r>
      <w:r>
        <w:t xml:space="preserve"> дохода от целевого капитала </w:t>
      </w:r>
      <w:r w:rsidRPr="00107C45">
        <w:rPr>
          <w:u w:val="single"/>
        </w:rPr>
        <w:t>расширены</w:t>
      </w:r>
      <w:r>
        <w:t xml:space="preserve"> охраной окружающей среды, оказанием гражданам бесплатной юридической помощи и осуществлением их правового просвещения;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lastRenderedPageBreak/>
        <w:t>урегулированы</w:t>
      </w:r>
      <w:r>
        <w:t xml:space="preserve"> вопросы налогообложения операций, связанных</w:t>
      </w:r>
      <w:r w:rsidR="00107C45">
        <w:t xml:space="preserve"> </w:t>
      </w:r>
      <w:r>
        <w:t>с формированием, пополнением, использованием и расформированием целевого капитала некоммерческих организаций;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устранены</w:t>
      </w:r>
      <w:r>
        <w:t xml:space="preserve"> неравенства в налогообложении услуг по уходу за больными, инвалидами и престарелыми, необходимость ухода за которыми подтверждена заключениями организаций здравоохранения, органов социальной защиты населения и (или) федеральных учреждений медико-социальной защиты, – такие услуги полностью освобождены от НДС (до 2011 года освобождение предоставлялось только государственным и муниципальным учреждениям социальной защиты);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освобождены от НДС</w:t>
      </w:r>
      <w:r>
        <w:t xml:space="preserve"> услуги по поддержке и социальному обслуживанию несовершеннолетних детей, граждан пожилого возраста, инвалидов и иных лиц, находящихся в трудной жизненной ситуации, а также по организации и проведению физкультурных, физкультурно-оздоровительных и спортивных мероприятий;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освобождена от НДС</w:t>
      </w:r>
      <w:r>
        <w:t xml:space="preserve"> безвозмездная передача имущественных прав в рамках благотворительной деятельности;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расширен перечень</w:t>
      </w:r>
      <w:r>
        <w:t xml:space="preserve"> целевых поступлений на содержание некоммерческих организаций и ведение ими уставной деятельности, не учитываемых при определении налоговой базы по налогу на прибыль организаций и налогу, уплачиваемому в связи с применением упрощенной системы налогообложения;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 xml:space="preserve">безвозмездное оказание </w:t>
      </w:r>
      <w:r>
        <w:t xml:space="preserve">услуг по производству и (или) распространению социальной рекламы </w:t>
      </w:r>
      <w:r w:rsidRPr="00107C45">
        <w:rPr>
          <w:u w:val="single"/>
        </w:rPr>
        <w:t>освобождено</w:t>
      </w:r>
      <w:r>
        <w:t xml:space="preserve"> от налогообложения налогом на добавленную стоимость и включено в состав прочих расходов, связанных с производством и реализацией, уменьшающих налоговую базу по налогу на прибыль организаций (при соблюдении требований к объему упоминаний в социальной рекламе о спонсорах);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освобождена от налогообложения</w:t>
      </w:r>
      <w:r>
        <w:t xml:space="preserve"> налогом на доходы физических лиц благотворительная помощь в денежной и натуральной форме, оказываемая российскими и иностранными благотворительными организациями;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освобождены от налогообложения</w:t>
      </w:r>
      <w:r>
        <w:t xml:space="preserve"> налогом на доходы физических лиц доходы, за исключением доходов, полученных в виде благотворительной помощи, получаемые от некоммерческих организаций детьми-сиротами, детьми, оставшимися без попечения родителей, и детьми, являющимися членами семей, доходы которых на одного члена не превышают прожиточного минимума;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освобождено от налогообложения</w:t>
      </w:r>
      <w:r>
        <w:t xml:space="preserve"> налогом на доходы физических лиц возмещение расходов добровольцев на питание (но не более 700 рублей в день на территории России и 2500 рублей – за ее пределами), наем жилого помещения, проезд до места назначения и обратно, оплату средств индивидуальной защиты, уплату страховых взносов на добровольное медицинское страхование, связанное с рисками для здоровья добровольцев при осуществлении ими добровольческой деятельности;</w:t>
      </w:r>
    </w:p>
    <w:p w:rsidR="002B7F5C" w:rsidRDefault="002B7F5C" w:rsidP="008B5AA0">
      <w:pPr>
        <w:pStyle w:val="a3"/>
        <w:spacing w:after="0" w:line="240" w:lineRule="auto"/>
        <w:jc w:val="both"/>
      </w:pPr>
      <w:r w:rsidRPr="00107C45">
        <w:rPr>
          <w:u w:val="single"/>
        </w:rPr>
        <w:t>до 20 процентов</w:t>
      </w:r>
      <w:r>
        <w:t xml:space="preserve"> на 2012-2013 годы </w:t>
      </w:r>
      <w:r w:rsidRPr="00107C45">
        <w:rPr>
          <w:u w:val="single"/>
        </w:rPr>
        <w:t>снижены</w:t>
      </w:r>
      <w:r>
        <w:t xml:space="preserve"> тарифы страховых взносов в государственные внебюджетные фонды для некоммерческих организаций, применяющих упрощенную систему налогообложения (при соблюдении ими установленных условий по видам деятельности и источникам финансирования), а также для благотворительных организаций, применяющих упрощенную систему налогообложения.</w:t>
      </w:r>
    </w:p>
    <w:p w:rsidR="00107C45" w:rsidRDefault="00107C45" w:rsidP="008B5AA0">
      <w:pPr>
        <w:pStyle w:val="a3"/>
        <w:spacing w:after="0" w:line="240" w:lineRule="auto"/>
        <w:jc w:val="both"/>
      </w:pPr>
    </w:p>
    <w:p w:rsidR="002B7F5C" w:rsidRPr="00107C45" w:rsidRDefault="002B7F5C" w:rsidP="008B5AA0">
      <w:pPr>
        <w:pStyle w:val="a3"/>
        <w:spacing w:after="0" w:line="240" w:lineRule="auto"/>
        <w:jc w:val="both"/>
        <w:rPr>
          <w:b/>
          <w:i/>
        </w:rPr>
      </w:pPr>
      <w:r w:rsidRPr="00107C45">
        <w:rPr>
          <w:b/>
          <w:i/>
        </w:rPr>
        <w:t>Изменения в регулировании социальной рекламы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В 2011 году были приняты два законопроекта (№ 115 от 03.06.2011 и № 235 от 18.07.2011), которые улучшают правила создания и размещения социальной рекламы и приводят их в соответствие со сложившейся в этой сфере правоприменительной практикой.</w:t>
      </w:r>
    </w:p>
    <w:p w:rsidR="00107C45" w:rsidRDefault="00107C45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 xml:space="preserve">Отменены три налога, которые делали затратным производство и размещение социальной рекламы на безвозмездной основе: НДС и налоги на прибыль для </w:t>
      </w:r>
      <w:proofErr w:type="spellStart"/>
      <w:r>
        <w:t>рекламопроизводителей</w:t>
      </w:r>
      <w:proofErr w:type="spellEnd"/>
      <w:r>
        <w:t>/</w:t>
      </w:r>
      <w:proofErr w:type="spellStart"/>
      <w:r>
        <w:t>рекламораспространителей</w:t>
      </w:r>
      <w:proofErr w:type="spellEnd"/>
      <w:r>
        <w:t xml:space="preserve"> и заказчиков-НКО. Кроме того, разрешено упоминать в социальной рекламе социально ориентированные </w:t>
      </w:r>
      <w:r>
        <w:lastRenderedPageBreak/>
        <w:t xml:space="preserve">некоммерческие организации и некоторые категории </w:t>
      </w:r>
      <w:proofErr w:type="spellStart"/>
      <w:r>
        <w:t>благополучателей</w:t>
      </w:r>
      <w:proofErr w:type="spellEnd"/>
      <w:r>
        <w:t>, ограничено упоминание спонсоров.</w:t>
      </w:r>
    </w:p>
    <w:p w:rsidR="00107C45" w:rsidRDefault="00107C45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Федеральный закон от 18.07.2011 № 235-ФЗ «О внесении изменений в часть вторую Налогового кодекса РФ в части совершенствования налогообложения некоммерческих организаций и благотворительной деятельности»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П. 3 ст. 149 Налогового кодекса РФ дополнен подпунктом 32 «Безвозмездное оказание услуг по производству и (или) распространению социальной рекламы».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Указанные в настоящем подпункте операции не подлежат налогообложению при соблюдении одного из следующих требований к социальной рекламе: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•</w:t>
      </w:r>
      <w:r>
        <w:tab/>
        <w:t>в социальной рекламе, распространяемой в радиопрограммах, продолжительность упоминания о спонсорах составляет не более трех секунд;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•</w:t>
      </w:r>
      <w:r>
        <w:tab/>
        <w:t xml:space="preserve">в социальной рекламе, распространяемой в телепрограммах, при кино- и </w:t>
      </w:r>
      <w:proofErr w:type="spellStart"/>
      <w:r>
        <w:t>видеообслуживании</w:t>
      </w:r>
      <w:proofErr w:type="spellEnd"/>
      <w:r>
        <w:t>, продолжительность упоминания о спонсорах составляет не более трех секунд и такому упоминанию отведено не более семи процентов площади кадра;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•</w:t>
      </w:r>
      <w:r>
        <w:tab/>
        <w:t>в социальной рекламе, распространяемой другими способами, на упоминание о спонсорах отведено не более пяти процентов рекламной площади (пространства).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Установленные настоящим подпунктом требования к упоминаниям о спонсорах не распространяются на упоминания в социальной рекламе орган</w:t>
      </w:r>
      <w:r w:rsidR="00107C45">
        <w:t>ов</w:t>
      </w:r>
      <w:r>
        <w:t xml:space="preserve"> государственной власти, иных государственных орган</w:t>
      </w:r>
      <w:r w:rsidR="00107C45">
        <w:t>ов</w:t>
      </w:r>
      <w:r>
        <w:t xml:space="preserve"> и орган</w:t>
      </w:r>
      <w:r w:rsidR="00107C45">
        <w:t>ов</w:t>
      </w:r>
      <w:r>
        <w:t xml:space="preserve"> местного самоуправления, муниципальных орган</w:t>
      </w:r>
      <w:r w:rsidR="00107C45">
        <w:t>ов</w:t>
      </w:r>
      <w:r>
        <w:t>, которые не входят в структуру органов местного самоуправления, социально ориентированных некоммерческих организаци</w:t>
      </w:r>
      <w:r w:rsidR="00107C45">
        <w:t>й</w:t>
      </w:r>
      <w:r>
        <w:t>, а также физических лиц, оказавшихся в трудной жизненной ситуации или нуждающихся в лечении, в целях оказания им благотворительной помощи.</w:t>
      </w:r>
    </w:p>
    <w:p w:rsidR="00107C45" w:rsidRDefault="00107C45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Это значит, что организации, которые безвозмездно производят или распространяют социальную рекламу, больше не должны уплачивать с нее НДС.</w:t>
      </w:r>
    </w:p>
    <w:p w:rsidR="00107C45" w:rsidRDefault="00107C45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 xml:space="preserve">Изменение вступило в силу </w:t>
      </w:r>
      <w:r w:rsidR="00107C45">
        <w:t xml:space="preserve">с </w:t>
      </w:r>
      <w:r>
        <w:t>1 сентября 2011 года.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proofErr w:type="spellStart"/>
      <w:r>
        <w:t>Пп</w:t>
      </w:r>
      <w:proofErr w:type="spellEnd"/>
      <w:r>
        <w:t>. 1 п. 2 ст. 251 Налогового кодекса РФ, в котором указано, что относится к целевым поступлениям на содержание некоммерческих организаций и ведение ими уставной деятельности (они не учитываются при определении налоговой базы), изложен в новой редакции: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1) осуществленные в соответствии с законодательством Российской Федерации о некоммерческих организациях взносы учредителей (участников, членов), пожертвования, признаваемые таковыми в соответствии с гражданским законодательством Российской Федерации, доходы в виде безвозмездно полученных некоммерческими организациями работ (услуг), выполненных (оказанных) на основании соответствующих договоров, а также отчисления на формирование в установленном статьей 324 настоящего Кодекса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кооперативу или иному специализированному потребительскому кооперативу их членами.</w:t>
      </w:r>
    </w:p>
    <w:p w:rsidR="00107C45" w:rsidRDefault="00107C45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Это значит, что если расходы по производству и размещению социальной рекламы берут на себя производители, распространители или спонсоры, у некоммерческой организации, выступающей в роли заказчика социальной рекламы, не возникает внереализационный доход. То есть она не обязана уплачивать налог на прибыль с сумм, эквивалентных рыночной стоимости такой социальной рекламы.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Изменения вступили в силу задним числом – с 1 января 2011 года.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lastRenderedPageBreak/>
        <w:t>П. 1 ст. 264 дополнен новым подпунктом:</w:t>
      </w:r>
    </w:p>
    <w:p w:rsidR="002B7F5C" w:rsidRDefault="002B7F5C" w:rsidP="008B5AA0">
      <w:pPr>
        <w:pStyle w:val="a3"/>
        <w:spacing w:after="0" w:line="240" w:lineRule="auto"/>
        <w:jc w:val="both"/>
      </w:pPr>
      <w:r>
        <w:t>48-4) расходы налогоплательщиков, связанные с безвозмездным оказанием услуг по изготовлению и (или) распространению социальной рекламы в соответствии с законодательством Российской Федерации о рекламе. Указанные в настоящем подпункте расходы признаются для целей налогообложения при условии соблюдения требований к социальной рекламе, установленных подпунктом 32 пункта 3 статьи 149 настоящего Кодекса. Это значит, что производитель и распространитель социальной рекламы больше не должны уплачивать налог на прибыль с сумм, затраченных на производство или распространение социальной рекламы на безвозмездной для заказчика основе.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Изменение вступило в силу с 1 января 2012 года.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2B7F5C" w:rsidRDefault="002B7F5C" w:rsidP="008B5AA0">
      <w:pPr>
        <w:pStyle w:val="a3"/>
        <w:spacing w:after="0" w:line="240" w:lineRule="auto"/>
        <w:jc w:val="both"/>
      </w:pPr>
      <w:r>
        <w:t>Федеральный закон от 03.06.2011 № 115-ФЗ «О внесении изменений в Федеральный закон «О рекламе» Закон вносит поправки в ст. 10 Федерального закона № 38-ФЗ «О рекламе». Они касаются правил упоминания в социальной рекламе физических и юридических лиц.</w:t>
      </w:r>
    </w:p>
    <w:p w:rsidR="002B7F5C" w:rsidRDefault="002B7F5C" w:rsidP="008B5AA0">
      <w:pPr>
        <w:pStyle w:val="a3"/>
        <w:spacing w:after="0" w:line="240" w:lineRule="auto"/>
        <w:jc w:val="both"/>
      </w:pPr>
    </w:p>
    <w:p w:rsidR="00366FB5" w:rsidRDefault="002B7F5C" w:rsidP="008B5AA0">
      <w:pPr>
        <w:pStyle w:val="a3"/>
        <w:spacing w:after="0" w:line="240" w:lineRule="auto"/>
        <w:jc w:val="both"/>
      </w:pPr>
      <w:r w:rsidRPr="00107C45">
        <w:rPr>
          <w:i/>
        </w:rPr>
        <w:t>(материалы «Изменения в регулировании социальной рекламы» подготовлены Агентством социальной информации-АСИ</w:t>
      </w:r>
      <w:r>
        <w:t>).</w:t>
      </w:r>
    </w:p>
    <w:p w:rsidR="00366FB5" w:rsidRDefault="00366FB5" w:rsidP="008B5AA0">
      <w:pPr>
        <w:pStyle w:val="a3"/>
        <w:spacing w:after="0" w:line="240" w:lineRule="auto"/>
        <w:jc w:val="both"/>
      </w:pPr>
    </w:p>
    <w:p w:rsidR="00D23943" w:rsidRDefault="00D23943" w:rsidP="008B5AA0">
      <w:pPr>
        <w:spacing w:after="0" w:line="240" w:lineRule="auto"/>
        <w:jc w:val="both"/>
      </w:pPr>
      <w:r>
        <w:t>Также</w:t>
      </w:r>
      <w:r w:rsidR="00107C45">
        <w:t>,</w:t>
      </w:r>
      <w:r>
        <w:t xml:space="preserve"> кроме упомянутых выше нормативно-правовых актов, касающихся  имущественной поддержки, налоговых льгот, новых</w:t>
      </w:r>
      <w:r w:rsidR="00E805A7">
        <w:t xml:space="preserve"> видов деятельности СО НКО, была</w:t>
      </w:r>
      <w:r>
        <w:t xml:space="preserve"> внедрена новая форма организации статистического учета (Постановление Правительства РФ № 633 от 25.06.2012</w:t>
      </w:r>
      <w:r w:rsidR="00107C45">
        <w:t>)</w:t>
      </w:r>
      <w:r>
        <w:t>. Для расширения поддержки СО НКО была принята</w:t>
      </w:r>
      <w:r w:rsidRPr="00D23943">
        <w:t xml:space="preserve"> </w:t>
      </w:r>
      <w:r w:rsidR="00504681">
        <w:t>п</w:t>
      </w:r>
      <w:r>
        <w:t>одпрограмма «Повышение эффективности государственной поддержки социально ориентированных некоммерческих организаций» государственной программы «Социальная поддержка граждан» (Распоряжение Правительства</w:t>
      </w:r>
      <w:r w:rsidR="002E6257">
        <w:t xml:space="preserve"> РФ №2553-р от 27.12.2012)</w:t>
      </w:r>
      <w:r w:rsidR="00107C45">
        <w:t>.</w:t>
      </w:r>
    </w:p>
    <w:p w:rsidR="00107C45" w:rsidRDefault="00107C45" w:rsidP="008B5AA0">
      <w:pPr>
        <w:spacing w:after="0" w:line="240" w:lineRule="auto"/>
        <w:jc w:val="both"/>
      </w:pPr>
    </w:p>
    <w:p w:rsidR="002E6257" w:rsidRDefault="002E6257" w:rsidP="008B5AA0">
      <w:pPr>
        <w:spacing w:after="0" w:line="240" w:lineRule="auto"/>
        <w:jc w:val="both"/>
      </w:pPr>
      <w:r>
        <w:t>В 2013 году будет принят комплекс мер, направленных на увеличение поддержки</w:t>
      </w:r>
      <w:r w:rsidR="00107C45">
        <w:t xml:space="preserve"> </w:t>
      </w:r>
      <w:r>
        <w:t>социально ориентированных некоммерческих организаций</w:t>
      </w:r>
      <w:r w:rsidR="00107C45">
        <w:t xml:space="preserve"> </w:t>
      </w:r>
      <w:r w:rsidR="00E805A7">
        <w:t xml:space="preserve">(в </w:t>
      </w:r>
      <w:proofErr w:type="spellStart"/>
      <w:r w:rsidR="00E805A7">
        <w:t>т.ч</w:t>
      </w:r>
      <w:proofErr w:type="spellEnd"/>
      <w:r w:rsidR="00E805A7">
        <w:t xml:space="preserve"> расширение финансовой поддержки с федерального уровня)</w:t>
      </w:r>
      <w:r>
        <w:t xml:space="preserve">; распространение преимуществ субъектов малого предпринимательства по участию в закупках товаров, работ и услуг для обеспечения государственных и муниципальных нужд на социально ориентированные некоммерческие организации; формирование единой информационной системы поддержки  СО НКО ( в </w:t>
      </w:r>
      <w:proofErr w:type="spellStart"/>
      <w:r>
        <w:t>т.ч</w:t>
      </w:r>
      <w:proofErr w:type="spellEnd"/>
      <w:r>
        <w:t xml:space="preserve">. портал </w:t>
      </w:r>
      <w:hyperlink r:id="rId8" w:history="1">
        <w:r w:rsidRPr="002D47A0">
          <w:rPr>
            <w:rStyle w:val="a7"/>
            <w:lang w:val="en-US"/>
          </w:rPr>
          <w:t>www</w:t>
        </w:r>
        <w:r w:rsidRPr="002E6257">
          <w:rPr>
            <w:rStyle w:val="a7"/>
          </w:rPr>
          <w:t>.</w:t>
        </w:r>
        <w:r w:rsidRPr="002D47A0">
          <w:rPr>
            <w:rStyle w:val="a7"/>
            <w:lang w:val="en-US"/>
          </w:rPr>
          <w:t>nko</w:t>
        </w:r>
        <w:r w:rsidRPr="002E6257">
          <w:rPr>
            <w:rStyle w:val="a7"/>
          </w:rPr>
          <w:t>.</w:t>
        </w:r>
        <w:r w:rsidRPr="002D47A0">
          <w:rPr>
            <w:rStyle w:val="a7"/>
            <w:lang w:val="en-US"/>
          </w:rPr>
          <w:t>economy</w:t>
        </w:r>
        <w:r w:rsidRPr="002E6257">
          <w:rPr>
            <w:rStyle w:val="a7"/>
          </w:rPr>
          <w:t>.</w:t>
        </w:r>
        <w:r w:rsidRPr="002D47A0">
          <w:rPr>
            <w:rStyle w:val="a7"/>
            <w:lang w:val="en-US"/>
          </w:rPr>
          <w:t>gov</w:t>
        </w:r>
        <w:r w:rsidRPr="002E6257">
          <w:rPr>
            <w:rStyle w:val="a7"/>
          </w:rPr>
          <w:t>.</w:t>
        </w:r>
        <w:r w:rsidRPr="002D47A0">
          <w:rPr>
            <w:rStyle w:val="a7"/>
            <w:lang w:val="en-US"/>
          </w:rPr>
          <w:t>ru</w:t>
        </w:r>
      </w:hyperlink>
      <w:r w:rsidRPr="002E6257">
        <w:t>)</w:t>
      </w:r>
    </w:p>
    <w:p w:rsidR="002B7F5C" w:rsidRDefault="002B7F5C" w:rsidP="008B5AA0">
      <w:pPr>
        <w:spacing w:after="0" w:line="240" w:lineRule="auto"/>
        <w:jc w:val="both"/>
      </w:pPr>
    </w:p>
    <w:p w:rsidR="004F2050" w:rsidRDefault="004F2050" w:rsidP="008B5AA0">
      <w:pPr>
        <w:spacing w:after="0" w:line="240" w:lineRule="auto"/>
        <w:jc w:val="both"/>
      </w:pPr>
      <w:r>
        <w:t>Прежде чем перейти к анализу финансовой поддержки СО НКО по различным механизмам, хотелось бы упомянуть к</w:t>
      </w:r>
      <w:r w:rsidRPr="004F2050">
        <w:t>раткосрочн</w:t>
      </w:r>
      <w:r>
        <w:t>ую</w:t>
      </w:r>
      <w:r w:rsidRPr="004F2050">
        <w:t xml:space="preserve">  программ</w:t>
      </w:r>
      <w:r>
        <w:t>у</w:t>
      </w:r>
      <w:r w:rsidRPr="004F2050">
        <w:t xml:space="preserve"> повышения квалификации  сотрудников СО НКО и гос</w:t>
      </w:r>
      <w:r>
        <w:t xml:space="preserve">ударственных </w:t>
      </w:r>
      <w:r w:rsidRPr="004F2050">
        <w:t xml:space="preserve"> и мун</w:t>
      </w:r>
      <w:r>
        <w:t xml:space="preserve">иципальных </w:t>
      </w:r>
      <w:r w:rsidRPr="004F2050">
        <w:t>служащих</w:t>
      </w:r>
      <w:r>
        <w:t>, которая осуществлялась в 2012 году:</w:t>
      </w:r>
    </w:p>
    <w:p w:rsidR="00504681" w:rsidRDefault="00504681" w:rsidP="008B5AA0">
      <w:pPr>
        <w:spacing w:after="0" w:line="240" w:lineRule="auto"/>
        <w:jc w:val="both"/>
      </w:pPr>
    </w:p>
    <w:p w:rsidR="004F2050" w:rsidRDefault="004F2050" w:rsidP="008B5AA0">
      <w:pPr>
        <w:spacing w:after="0" w:line="240" w:lineRule="auto"/>
        <w:jc w:val="both"/>
      </w:pPr>
      <w:r>
        <w:t>Про</w:t>
      </w:r>
      <w:r w:rsidR="00504681">
        <w:t xml:space="preserve">грамма  проходила на базе </w:t>
      </w:r>
      <w:proofErr w:type="spellStart"/>
      <w:r w:rsidR="00504681">
        <w:t>РАНХи</w:t>
      </w:r>
      <w:r>
        <w:t>ГС</w:t>
      </w:r>
      <w:proofErr w:type="spellEnd"/>
      <w:r>
        <w:t xml:space="preserve"> при Президенте РФ, </w:t>
      </w:r>
      <w:r w:rsidR="00E805A7">
        <w:t>она осуществлялась централизова</w:t>
      </w:r>
      <w:r w:rsidR="00504681">
        <w:t>н</w:t>
      </w:r>
      <w:r w:rsidR="00E805A7">
        <w:t>но из федерального центра по заказу МЭР РФ</w:t>
      </w:r>
      <w:r>
        <w:t xml:space="preserve">, но </w:t>
      </w:r>
      <w:r w:rsidR="00BE75C9">
        <w:t xml:space="preserve">конкретно </w:t>
      </w:r>
      <w:r>
        <w:t xml:space="preserve">обучение </w:t>
      </w:r>
      <w:r w:rsidR="00BE75C9">
        <w:t>большинства слушателей</w:t>
      </w:r>
      <w:r w:rsidR="00E805A7">
        <w:t xml:space="preserve"> </w:t>
      </w:r>
      <w:r>
        <w:t xml:space="preserve">в регионах происходило на базе филиалов </w:t>
      </w:r>
      <w:proofErr w:type="spellStart"/>
      <w:r>
        <w:t>РАНХиГС</w:t>
      </w:r>
      <w:proofErr w:type="spellEnd"/>
      <w:r>
        <w:t>.</w:t>
      </w:r>
    </w:p>
    <w:p w:rsidR="00504681" w:rsidRDefault="00504681" w:rsidP="008B5AA0">
      <w:pPr>
        <w:spacing w:after="0" w:line="240" w:lineRule="auto"/>
        <w:jc w:val="both"/>
      </w:pPr>
    </w:p>
    <w:p w:rsidR="004F2050" w:rsidRDefault="004F2050" w:rsidP="008B5AA0">
      <w:pPr>
        <w:spacing w:after="0" w:line="240" w:lineRule="auto"/>
        <w:jc w:val="both"/>
      </w:pPr>
      <w:r>
        <w:t>Разрабатывалась программа</w:t>
      </w:r>
      <w:r w:rsidR="00BE75C9">
        <w:t xml:space="preserve"> и ее методическое обеспечение</w:t>
      </w:r>
      <w:r>
        <w:t xml:space="preserve"> ГУ-ВШЭ с привлечением </w:t>
      </w:r>
      <w:r w:rsidR="00BE75C9">
        <w:t>сотрудников</w:t>
      </w:r>
      <w:r w:rsidR="00E805A7">
        <w:t xml:space="preserve"> существующих в России</w:t>
      </w:r>
      <w:r w:rsidR="00BE75C9">
        <w:t xml:space="preserve"> </w:t>
      </w:r>
      <w:r w:rsidR="00E805A7">
        <w:t>высокопрофессиональных НКО-</w:t>
      </w:r>
      <w:r>
        <w:t>Ресурсных Центров</w:t>
      </w:r>
      <w:r w:rsidR="008A486E">
        <w:t>*</w:t>
      </w:r>
      <w:r>
        <w:t>. Методические  материалы разрабатывали и писали сотрудники НКО (управление НКО, мониторинг и оценка, социальное проектирование, юридические аспекты, мобилизация ресурсов, привлечение добровольцев и т.д.), в частности</w:t>
      </w:r>
      <w:r w:rsidR="00504681">
        <w:t>,</w:t>
      </w:r>
      <w:r>
        <w:t xml:space="preserve"> многие материалы были написаны </w:t>
      </w:r>
      <w:r w:rsidR="00BE75C9">
        <w:t>сотрудниками ресурсных центров из</w:t>
      </w:r>
      <w:r>
        <w:t xml:space="preserve"> Сибири. После обучения (72 часа, </w:t>
      </w:r>
      <w:r w:rsidR="00E805A7">
        <w:t xml:space="preserve">слушателям </w:t>
      </w:r>
      <w:r>
        <w:t>были выданы сертификаты) проходил экзамен</w:t>
      </w:r>
      <w:r w:rsidR="00504681">
        <w:t>, группы были совместные (</w:t>
      </w:r>
      <w:r>
        <w:t>представители органов государственной власти, муниципального уровня и НКО).</w:t>
      </w:r>
      <w:r w:rsidR="00504681">
        <w:t xml:space="preserve"> </w:t>
      </w:r>
      <w:r>
        <w:t>Результатом стали проекты как на федеральном уровне (где обучались государственные чиновники высшего звена)</w:t>
      </w:r>
      <w:r w:rsidR="00BE75C9">
        <w:t>,</w:t>
      </w:r>
      <w:r>
        <w:t xml:space="preserve"> так и на региональном</w:t>
      </w:r>
      <w:r w:rsidR="00BE75C9">
        <w:t xml:space="preserve"> или муниципальном (например</w:t>
      </w:r>
      <w:r w:rsidR="00504681">
        <w:t>,</w:t>
      </w:r>
      <w:r w:rsidR="00BE75C9">
        <w:t xml:space="preserve"> </w:t>
      </w:r>
      <w:r w:rsidR="008A486E">
        <w:t xml:space="preserve">проект </w:t>
      </w:r>
      <w:r w:rsidR="008A486E" w:rsidRPr="008A486E">
        <w:t>“</w:t>
      </w:r>
      <w:r w:rsidR="008A486E">
        <w:t>К</w:t>
      </w:r>
      <w:r w:rsidR="00BE75C9">
        <w:t>онкурс</w:t>
      </w:r>
      <w:r w:rsidR="008A486E">
        <w:t xml:space="preserve"> брэндов для НКО</w:t>
      </w:r>
      <w:r w:rsidR="008A486E" w:rsidRPr="008A486E">
        <w:t>”</w:t>
      </w:r>
      <w:r w:rsidR="008A486E">
        <w:t>, который реализован</w:t>
      </w:r>
      <w:r w:rsidR="00BE75C9">
        <w:t xml:space="preserve"> в </w:t>
      </w:r>
      <w:proofErr w:type="spellStart"/>
      <w:r w:rsidR="00BE75C9">
        <w:t>г.Новосибирске</w:t>
      </w:r>
      <w:proofErr w:type="spellEnd"/>
      <w:r w:rsidR="00BE75C9">
        <w:t xml:space="preserve"> в 2013</w:t>
      </w:r>
      <w:r w:rsidR="00504681">
        <w:t xml:space="preserve"> </w:t>
      </w:r>
      <w:r w:rsidR="00BE75C9">
        <w:t xml:space="preserve">году, был разработан в рамках программы обучения несколькими СО НКО </w:t>
      </w:r>
      <w:r w:rsidR="00BE75C9">
        <w:lastRenderedPageBreak/>
        <w:t>из Новосибирска и представителями мэрии города)</w:t>
      </w:r>
      <w:r>
        <w:t>. Отбор слушателей  проходил при участии О</w:t>
      </w:r>
      <w:r w:rsidR="008A486E">
        <w:t>бщественных Палат</w:t>
      </w:r>
      <w:r w:rsidR="00BE75C9">
        <w:t xml:space="preserve"> </w:t>
      </w:r>
      <w:r>
        <w:t xml:space="preserve">регионов и </w:t>
      </w:r>
      <w:r w:rsidR="008A486E">
        <w:t xml:space="preserve">существующих </w:t>
      </w:r>
      <w:r>
        <w:t>Р</w:t>
      </w:r>
      <w:r w:rsidR="008A486E">
        <w:t xml:space="preserve">есурсных </w:t>
      </w:r>
      <w:r>
        <w:t>Ц</w:t>
      </w:r>
      <w:r w:rsidR="008A486E">
        <w:t>ентров*, но ответственными</w:t>
      </w:r>
      <w:r>
        <w:t xml:space="preserve"> были профильные ведомства администраций регионов.</w:t>
      </w:r>
    </w:p>
    <w:p w:rsidR="008A486E" w:rsidRDefault="008A486E" w:rsidP="008B5AA0">
      <w:pPr>
        <w:spacing w:after="0" w:line="240" w:lineRule="auto"/>
        <w:jc w:val="both"/>
      </w:pPr>
      <w:r w:rsidRPr="00504681">
        <w:rPr>
          <w:b/>
        </w:rPr>
        <w:t xml:space="preserve">*Ресурсные центры </w:t>
      </w:r>
      <w:r>
        <w:t xml:space="preserve">– это название было введено МЭР РФ в рамках конкурса для СО НКО, который проходил в 2011 г. Подразумеваются  независимые социально ориентированные организации, которые осуществляют планомерную деятельность по развитию сектора НКО. </w:t>
      </w:r>
    </w:p>
    <w:p w:rsidR="00504681" w:rsidRDefault="00504681" w:rsidP="008B5AA0">
      <w:pPr>
        <w:spacing w:after="0" w:line="240" w:lineRule="auto"/>
        <w:jc w:val="both"/>
      </w:pPr>
    </w:p>
    <w:p w:rsidR="00504681" w:rsidRDefault="004F2050" w:rsidP="008B5AA0">
      <w:pPr>
        <w:spacing w:after="0" w:line="240" w:lineRule="auto"/>
        <w:jc w:val="both"/>
      </w:pPr>
      <w:r>
        <w:t>Было обучено 6400 представителей СО НКО и 1500 чиновников, был проведен мониторинг МЭР РФ</w:t>
      </w:r>
      <w:r w:rsidR="008A486E">
        <w:t xml:space="preserve"> по этой программе</w:t>
      </w:r>
      <w:r>
        <w:t>. В СФО</w:t>
      </w:r>
      <w:r w:rsidR="00BE75C9">
        <w:t xml:space="preserve">, можно утверждать, </w:t>
      </w:r>
      <w:r>
        <w:t xml:space="preserve"> что программа реализовывалась достаточно успешно</w:t>
      </w:r>
      <w:r w:rsidR="008A486E">
        <w:t>, особенно в Новосибирске</w:t>
      </w:r>
      <w:r w:rsidR="00BE75C9">
        <w:t>. На наш взгляд</w:t>
      </w:r>
      <w:r w:rsidR="00504681">
        <w:t>,</w:t>
      </w:r>
      <w:r w:rsidR="00BE75C9">
        <w:t xml:space="preserve"> это произошло потому, что </w:t>
      </w:r>
      <w:r w:rsidR="00504681">
        <w:t>Сибирский институт управления (</w:t>
      </w:r>
      <w:r w:rsidR="00BE75C9">
        <w:t xml:space="preserve">Отделение </w:t>
      </w:r>
      <w:proofErr w:type="spellStart"/>
      <w:r w:rsidR="00BE75C9">
        <w:t>РАНХиГС</w:t>
      </w:r>
      <w:proofErr w:type="spellEnd"/>
      <w:r w:rsidR="00BE75C9">
        <w:t xml:space="preserve">) уже имел опыт </w:t>
      </w:r>
      <w:r w:rsidR="00504681">
        <w:t>о</w:t>
      </w:r>
      <w:r w:rsidR="00BE75C9">
        <w:t xml:space="preserve">бучения муниципальных служащих по данной теме с привлечением преподавателей из </w:t>
      </w:r>
      <w:r w:rsidR="00504681">
        <w:t xml:space="preserve">среды </w:t>
      </w:r>
      <w:r w:rsidR="00BE75C9">
        <w:t>НКО</w:t>
      </w:r>
      <w:r w:rsidR="00504681">
        <w:t xml:space="preserve"> (практиков)</w:t>
      </w:r>
      <w:r w:rsidR="00BE75C9">
        <w:t xml:space="preserve">. Там, где не привлекались сотрудники и преподаватели из НКО, программы были очень неэффективны. </w:t>
      </w:r>
    </w:p>
    <w:p w:rsidR="00504681" w:rsidRDefault="00504681" w:rsidP="008B5AA0">
      <w:pPr>
        <w:spacing w:after="0" w:line="240" w:lineRule="auto"/>
        <w:jc w:val="both"/>
      </w:pPr>
    </w:p>
    <w:p w:rsidR="00BE75C9" w:rsidRDefault="004F2050" w:rsidP="008B5AA0">
      <w:pPr>
        <w:spacing w:after="0" w:line="240" w:lineRule="auto"/>
        <w:jc w:val="both"/>
      </w:pPr>
      <w:r>
        <w:t>Программа</w:t>
      </w:r>
      <w:r w:rsidR="00BE75C9">
        <w:t xml:space="preserve"> в стране </w:t>
      </w:r>
      <w:r>
        <w:t>больше не реализуется</w:t>
      </w:r>
      <w:r w:rsidR="00BE75C9">
        <w:t>. Принято решение, что обучающий компонент должен быть включен на региональном уровне. Соответственно, необходимо включать такие мероприятия в региональные программы поддержки СО НКО. Воз</w:t>
      </w:r>
      <w:r w:rsidR="00AC5F50">
        <w:t>можность использования</w:t>
      </w:r>
      <w:r w:rsidR="00BE75C9">
        <w:t xml:space="preserve"> методически</w:t>
      </w:r>
      <w:r w:rsidR="00AC5F50">
        <w:t>х материалов</w:t>
      </w:r>
      <w:r w:rsidR="00BE75C9">
        <w:t>, разработанны</w:t>
      </w:r>
      <w:r w:rsidR="00AC5F50">
        <w:t>х</w:t>
      </w:r>
      <w:r w:rsidR="00BE75C9">
        <w:t xml:space="preserve"> в рамках федеральной программы обучения</w:t>
      </w:r>
      <w:r w:rsidR="00AC5F50">
        <w:t>,</w:t>
      </w:r>
      <w:r w:rsidR="00BE75C9">
        <w:t xml:space="preserve"> осталась.</w:t>
      </w:r>
      <w:r>
        <w:t xml:space="preserve"> </w:t>
      </w:r>
    </w:p>
    <w:p w:rsidR="00504681" w:rsidRDefault="00504681" w:rsidP="008B5AA0">
      <w:pPr>
        <w:spacing w:after="0" w:line="240" w:lineRule="auto"/>
        <w:jc w:val="both"/>
      </w:pPr>
    </w:p>
    <w:p w:rsidR="008A486E" w:rsidRDefault="008A486E" w:rsidP="008B5AA0">
      <w:pPr>
        <w:spacing w:after="0" w:line="240" w:lineRule="auto"/>
        <w:jc w:val="both"/>
      </w:pPr>
      <w:r>
        <w:t>Вернемся к финансовой поддержке СО НКО и создани</w:t>
      </w:r>
      <w:r w:rsidR="00504681">
        <w:t>ю</w:t>
      </w:r>
      <w:r>
        <w:t xml:space="preserve"> инфраструктуры развития сектора.</w:t>
      </w:r>
    </w:p>
    <w:p w:rsidR="001956D2" w:rsidRDefault="001956D2" w:rsidP="008B5AA0">
      <w:pPr>
        <w:pStyle w:val="a3"/>
        <w:spacing w:after="0" w:line="240" w:lineRule="auto"/>
        <w:jc w:val="both"/>
      </w:pPr>
    </w:p>
    <w:p w:rsidR="001956D2" w:rsidRDefault="001956D2" w:rsidP="008B5AA0">
      <w:pPr>
        <w:pStyle w:val="a3"/>
        <w:spacing w:after="0" w:line="240" w:lineRule="auto"/>
        <w:jc w:val="both"/>
      </w:pPr>
      <w:r>
        <w:t xml:space="preserve">В  2011 и 2013 годах на формирование инфраструктуры поддержки сектора СО НКО МЭР РФ выделил на конкурс среди «инфраструктурных» НКО  574 </w:t>
      </w:r>
      <w:proofErr w:type="spellStart"/>
      <w:r>
        <w:t>млн.рублей</w:t>
      </w:r>
      <w:proofErr w:type="spellEnd"/>
      <w:r>
        <w:t>.</w:t>
      </w:r>
    </w:p>
    <w:p w:rsidR="001956D2" w:rsidRDefault="001956D2" w:rsidP="008B5AA0">
      <w:pPr>
        <w:pStyle w:val="a3"/>
        <w:spacing w:after="0" w:line="240" w:lineRule="auto"/>
        <w:jc w:val="both"/>
      </w:pPr>
      <w:r>
        <w:t xml:space="preserve">В 2011 году в конкурсе было поддержано 35 программ СО НКО из 496 поданных и распределено 132 </w:t>
      </w:r>
      <w:proofErr w:type="spellStart"/>
      <w:r>
        <w:t>млн.рублей</w:t>
      </w:r>
      <w:proofErr w:type="spellEnd"/>
    </w:p>
    <w:p w:rsidR="001956D2" w:rsidRDefault="001956D2" w:rsidP="008B5AA0">
      <w:pPr>
        <w:pStyle w:val="a3"/>
        <w:spacing w:after="0" w:line="240" w:lineRule="auto"/>
        <w:jc w:val="both"/>
      </w:pPr>
      <w:r>
        <w:t xml:space="preserve">В  2012 году в конкурсе было поддержано 48 программ из 702 заявок и распределено 162 </w:t>
      </w:r>
      <w:proofErr w:type="spellStart"/>
      <w:r>
        <w:t>млн.рублей</w:t>
      </w:r>
      <w:proofErr w:type="spellEnd"/>
    </w:p>
    <w:p w:rsidR="00943505" w:rsidRDefault="001956D2" w:rsidP="008B5AA0">
      <w:pPr>
        <w:pStyle w:val="a3"/>
        <w:spacing w:after="0" w:line="240" w:lineRule="auto"/>
        <w:jc w:val="both"/>
      </w:pPr>
      <w:r>
        <w:t xml:space="preserve">В 2013 году выделено 280 </w:t>
      </w:r>
      <w:proofErr w:type="spellStart"/>
      <w:r>
        <w:t>млн.рублей</w:t>
      </w:r>
      <w:proofErr w:type="spellEnd"/>
      <w:r>
        <w:t xml:space="preserve"> на проекты до 2-х лет. Конкурс будет завершен в сентябре 2013 года. </w:t>
      </w:r>
      <w:r w:rsidR="00504681">
        <w:t>Реализация проектов начнется</w:t>
      </w:r>
      <w:r>
        <w:t xml:space="preserve"> в ноябре 2013.</w:t>
      </w:r>
    </w:p>
    <w:p w:rsidR="00504681" w:rsidRDefault="00504681" w:rsidP="008B5AA0">
      <w:pPr>
        <w:pStyle w:val="a3"/>
        <w:spacing w:after="0" w:line="240" w:lineRule="auto"/>
        <w:jc w:val="both"/>
      </w:pPr>
    </w:p>
    <w:p w:rsidR="001956D2" w:rsidRPr="00504681" w:rsidRDefault="00943505" w:rsidP="008B5AA0">
      <w:pPr>
        <w:pStyle w:val="a3"/>
        <w:spacing w:after="0" w:line="240" w:lineRule="auto"/>
        <w:jc w:val="both"/>
        <w:rPr>
          <w:b/>
        </w:rPr>
      </w:pPr>
      <w:r w:rsidRPr="00504681">
        <w:rPr>
          <w:b/>
        </w:rPr>
        <w:t>В рамках конкурсов  осуществлялась поддержка программ СО НКО по следующим типам:</w:t>
      </w:r>
      <w:r w:rsidR="001956D2" w:rsidRPr="00504681">
        <w:rPr>
          <w:b/>
        </w:rPr>
        <w:t xml:space="preserve"> </w:t>
      </w:r>
    </w:p>
    <w:p w:rsidR="00943505" w:rsidRDefault="008A486E" w:rsidP="008B5AA0">
      <w:pPr>
        <w:spacing w:after="0" w:line="240" w:lineRule="auto"/>
        <w:ind w:left="708"/>
        <w:jc w:val="both"/>
      </w:pPr>
      <w:r w:rsidRPr="00504681">
        <w:rPr>
          <w:i/>
        </w:rPr>
        <w:t>п</w:t>
      </w:r>
      <w:r w:rsidR="00943505" w:rsidRPr="00504681">
        <w:rPr>
          <w:i/>
        </w:rPr>
        <w:t>рофильные Ресурсные Центры</w:t>
      </w:r>
      <w:r w:rsidR="00504681" w:rsidRPr="00504681">
        <w:rPr>
          <w:i/>
        </w:rPr>
        <w:t xml:space="preserve"> </w:t>
      </w:r>
      <w:r w:rsidR="00943505">
        <w:t xml:space="preserve">(для поддержки организаций инвалидов, </w:t>
      </w:r>
      <w:r w:rsidR="00504681">
        <w:t>организаций, решающих проблемы семьи и детей</w:t>
      </w:r>
      <w:r w:rsidR="00943505">
        <w:t xml:space="preserve">, </w:t>
      </w:r>
      <w:r w:rsidR="00504681">
        <w:t xml:space="preserve">занимающихся </w:t>
      </w:r>
      <w:r w:rsidR="00943505">
        <w:t>межнациональными конфликтами и т.д.);</w:t>
      </w:r>
    </w:p>
    <w:p w:rsidR="00943505" w:rsidRDefault="008A486E" w:rsidP="008B5AA0">
      <w:pPr>
        <w:pStyle w:val="a3"/>
        <w:spacing w:after="0" w:line="240" w:lineRule="auto"/>
        <w:jc w:val="both"/>
      </w:pPr>
      <w:r w:rsidRPr="00504681">
        <w:rPr>
          <w:i/>
        </w:rPr>
        <w:t>т</w:t>
      </w:r>
      <w:r w:rsidR="00943505" w:rsidRPr="00504681">
        <w:rPr>
          <w:i/>
        </w:rPr>
        <w:t>ематические</w:t>
      </w:r>
      <w:r w:rsidR="00504681" w:rsidRPr="00504681">
        <w:rPr>
          <w:i/>
        </w:rPr>
        <w:t xml:space="preserve"> </w:t>
      </w:r>
      <w:r w:rsidR="00943505" w:rsidRPr="00504681">
        <w:rPr>
          <w:i/>
        </w:rPr>
        <w:t>Ресурсные Центры</w:t>
      </w:r>
      <w:r w:rsidR="00943505">
        <w:t xml:space="preserve"> (занимающиеся развитием добровольчества, благотворительности, поддержкой Фондов Местных Сообществ, создани</w:t>
      </w:r>
      <w:r w:rsidR="00504681">
        <w:t>ем</w:t>
      </w:r>
      <w:r w:rsidR="00943505">
        <w:t xml:space="preserve"> фондов целевого капитала, юридической поддержкой СО НКО)</w:t>
      </w:r>
      <w:r w:rsidR="007966EB">
        <w:t>;</w:t>
      </w:r>
    </w:p>
    <w:p w:rsidR="00943505" w:rsidRPr="00504681" w:rsidRDefault="007966EB" w:rsidP="008B5AA0">
      <w:pPr>
        <w:pStyle w:val="a3"/>
        <w:spacing w:after="0" w:line="240" w:lineRule="auto"/>
        <w:jc w:val="both"/>
        <w:rPr>
          <w:i/>
        </w:rPr>
      </w:pPr>
      <w:r w:rsidRPr="00504681">
        <w:rPr>
          <w:i/>
        </w:rPr>
        <w:t>к</w:t>
      </w:r>
      <w:r w:rsidR="00943505" w:rsidRPr="00504681">
        <w:rPr>
          <w:i/>
        </w:rPr>
        <w:t>омплексные межрегиональные и региональные Ресурсные Центры</w:t>
      </w:r>
      <w:r w:rsidRPr="00504681">
        <w:rPr>
          <w:i/>
        </w:rPr>
        <w:t>;</w:t>
      </w:r>
    </w:p>
    <w:p w:rsidR="00504681" w:rsidRDefault="00504681" w:rsidP="008B5AA0">
      <w:pPr>
        <w:pStyle w:val="a3"/>
        <w:spacing w:after="0" w:line="240" w:lineRule="auto"/>
        <w:jc w:val="both"/>
      </w:pPr>
    </w:p>
    <w:p w:rsidR="00AC5F50" w:rsidRDefault="00943505" w:rsidP="008B5AA0">
      <w:pPr>
        <w:pStyle w:val="a3"/>
        <w:spacing w:after="0" w:line="240" w:lineRule="auto"/>
        <w:jc w:val="both"/>
      </w:pPr>
      <w:r>
        <w:t>Для всех методических центров целевой группой являлись  социально ориентированные  НКО, а не граждане</w:t>
      </w:r>
      <w:r w:rsidR="00DB27F4">
        <w:t>.</w:t>
      </w:r>
      <w:r w:rsidR="007966EB">
        <w:t xml:space="preserve"> </w:t>
      </w:r>
      <w:r w:rsidR="00DB27F4">
        <w:t>Обязательной</w:t>
      </w:r>
      <w:r>
        <w:t xml:space="preserve"> для всех являлась методическая поддержка,  описание лучших практик , обучающий компонент</w:t>
      </w:r>
      <w:r w:rsidR="007966EB">
        <w:t>, развитие социальных технологий</w:t>
      </w:r>
      <w:r>
        <w:t xml:space="preserve"> и т.д.</w:t>
      </w:r>
    </w:p>
    <w:p w:rsidR="00504681" w:rsidRDefault="00504681" w:rsidP="008B5AA0">
      <w:pPr>
        <w:jc w:val="both"/>
        <w:rPr>
          <w:b/>
        </w:rPr>
      </w:pPr>
    </w:p>
    <w:p w:rsidR="00504681" w:rsidRDefault="00504681" w:rsidP="008B5AA0">
      <w:pPr>
        <w:jc w:val="both"/>
        <w:rPr>
          <w:b/>
        </w:rPr>
      </w:pPr>
    </w:p>
    <w:p w:rsidR="00504681" w:rsidRDefault="00504681" w:rsidP="008B5AA0">
      <w:pPr>
        <w:jc w:val="both"/>
        <w:rPr>
          <w:b/>
        </w:rPr>
      </w:pPr>
    </w:p>
    <w:p w:rsidR="00504681" w:rsidRDefault="00504681" w:rsidP="008B5AA0">
      <w:pPr>
        <w:jc w:val="both"/>
        <w:rPr>
          <w:b/>
        </w:rPr>
      </w:pPr>
    </w:p>
    <w:p w:rsidR="00504681" w:rsidRDefault="00504681" w:rsidP="008B5AA0">
      <w:pPr>
        <w:jc w:val="both"/>
        <w:rPr>
          <w:b/>
        </w:rPr>
      </w:pPr>
    </w:p>
    <w:p w:rsidR="00504681" w:rsidRDefault="00504681" w:rsidP="008B5AA0">
      <w:pPr>
        <w:jc w:val="both"/>
        <w:rPr>
          <w:b/>
        </w:rPr>
      </w:pPr>
    </w:p>
    <w:p w:rsidR="00142304" w:rsidRDefault="00142304" w:rsidP="008B5AA0">
      <w:pPr>
        <w:jc w:val="both"/>
        <w:rPr>
          <w:b/>
        </w:rPr>
      </w:pPr>
      <w:r>
        <w:rPr>
          <w:b/>
        </w:rPr>
        <w:lastRenderedPageBreak/>
        <w:t xml:space="preserve">Победители конкурсного отбора </w:t>
      </w:r>
      <w:r w:rsidR="00943505" w:rsidRPr="00142304">
        <w:rPr>
          <w:b/>
        </w:rPr>
        <w:t xml:space="preserve">социально ориентированных некоммерческих организаций </w:t>
      </w:r>
      <w:r w:rsidR="00943505" w:rsidRPr="00142304">
        <w:rPr>
          <w:b/>
        </w:rPr>
        <w:br/>
        <w:t>для предоставления субсидий из федерального бюджета 2011 года</w:t>
      </w:r>
      <w:r w:rsidR="007966EB">
        <w:rPr>
          <w:b/>
        </w:rPr>
        <w:t xml:space="preserve"> ( реализация проекта осуществлялась один год- 2012й)</w:t>
      </w:r>
    </w:p>
    <w:p w:rsidR="00943505" w:rsidRPr="00142304" w:rsidRDefault="00943505" w:rsidP="008B5AA0">
      <w:pPr>
        <w:jc w:val="both"/>
        <w:rPr>
          <w:b/>
        </w:rPr>
      </w:pPr>
      <w:r w:rsidRPr="00142304">
        <w:rPr>
          <w:b/>
        </w:rPr>
        <w:t>Программы СО НКО</w:t>
      </w:r>
      <w:r w:rsidR="00142304">
        <w:rPr>
          <w:b/>
        </w:rPr>
        <w:t xml:space="preserve">; </w:t>
      </w:r>
      <w:r w:rsidRPr="00142304">
        <w:rPr>
          <w:b/>
        </w:rPr>
        <w:t>СФО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84"/>
        <w:gridCol w:w="1134"/>
        <w:gridCol w:w="142"/>
        <w:gridCol w:w="5386"/>
      </w:tblGrid>
      <w:tr w:rsidR="00943505" w:rsidRPr="00943505" w:rsidTr="00943505">
        <w:tc>
          <w:tcPr>
            <w:tcW w:w="534" w:type="dxa"/>
          </w:tcPr>
          <w:p w:rsidR="00943505" w:rsidRPr="00943505" w:rsidRDefault="00943505" w:rsidP="008B5AA0">
            <w:pPr>
              <w:pStyle w:val="a3"/>
              <w:jc w:val="both"/>
              <w:rPr>
                <w:b/>
              </w:rPr>
            </w:pPr>
            <w:r w:rsidRPr="00943505">
              <w:rPr>
                <w:b/>
              </w:rPr>
              <w:t xml:space="preserve">№ </w:t>
            </w:r>
          </w:p>
        </w:tc>
        <w:tc>
          <w:tcPr>
            <w:tcW w:w="2409" w:type="dxa"/>
          </w:tcPr>
          <w:p w:rsidR="00943505" w:rsidRPr="00943505" w:rsidRDefault="00943505" w:rsidP="008B5AA0">
            <w:pPr>
              <w:jc w:val="both"/>
            </w:pPr>
            <w:r w:rsidRPr="00DB27F4">
              <w:rPr>
                <w:b/>
              </w:rPr>
              <w:t>Наименование социально ориентированной некоммерческой организации, должность и ФИО руководителя, контакты</w:t>
            </w:r>
          </w:p>
        </w:tc>
        <w:tc>
          <w:tcPr>
            <w:tcW w:w="1418" w:type="dxa"/>
            <w:gridSpan w:val="2"/>
          </w:tcPr>
          <w:p w:rsidR="002D47A0" w:rsidRDefault="002D47A0" w:rsidP="008B5AA0">
            <w:pPr>
              <w:jc w:val="both"/>
              <w:rPr>
                <w:b/>
              </w:rPr>
            </w:pPr>
          </w:p>
          <w:p w:rsidR="00943505" w:rsidRPr="00943505" w:rsidRDefault="00943505" w:rsidP="008B5AA0">
            <w:pPr>
              <w:jc w:val="both"/>
            </w:pPr>
            <w:r w:rsidRPr="00DB27F4">
              <w:rPr>
                <w:b/>
              </w:rPr>
              <w:t>Размер субсидии, руб.</w:t>
            </w:r>
          </w:p>
        </w:tc>
        <w:tc>
          <w:tcPr>
            <w:tcW w:w="5528" w:type="dxa"/>
            <w:gridSpan w:val="2"/>
          </w:tcPr>
          <w:p w:rsidR="00943505" w:rsidRPr="00943505" w:rsidRDefault="00943505" w:rsidP="008B5AA0">
            <w:pPr>
              <w:pStyle w:val="a3"/>
              <w:jc w:val="both"/>
              <w:rPr>
                <w:b/>
              </w:rPr>
            </w:pPr>
            <w:r w:rsidRPr="00943505">
              <w:rPr>
                <w:b/>
              </w:rPr>
              <w:t>Краткое описание мероприятий программы</w:t>
            </w:r>
          </w:p>
        </w:tc>
      </w:tr>
      <w:tr w:rsidR="00943505" w:rsidRPr="00943505" w:rsidTr="00E805A7">
        <w:tc>
          <w:tcPr>
            <w:tcW w:w="9889" w:type="dxa"/>
            <w:gridSpan w:val="6"/>
          </w:tcPr>
          <w:p w:rsidR="00943505" w:rsidRPr="00943505" w:rsidRDefault="00943505" w:rsidP="008B5AA0">
            <w:pPr>
              <w:pStyle w:val="a3"/>
              <w:jc w:val="both"/>
              <w:rPr>
                <w:b/>
              </w:rPr>
            </w:pPr>
            <w:r w:rsidRPr="00943505">
              <w:rPr>
                <w:b/>
              </w:rPr>
              <w:t>Межрегиональные ресурсные центры</w:t>
            </w:r>
          </w:p>
        </w:tc>
      </w:tr>
      <w:tr w:rsidR="00943505" w:rsidRPr="00943505" w:rsidTr="00943505">
        <w:tc>
          <w:tcPr>
            <w:tcW w:w="534" w:type="dxa"/>
          </w:tcPr>
          <w:p w:rsidR="00943505" w:rsidRPr="00943505" w:rsidRDefault="00943505" w:rsidP="008B5AA0">
            <w:pPr>
              <w:pStyle w:val="a3"/>
              <w:jc w:val="both"/>
            </w:pPr>
            <w:r w:rsidRPr="00943505">
              <w:t>21</w:t>
            </w:r>
          </w:p>
        </w:tc>
        <w:tc>
          <w:tcPr>
            <w:tcW w:w="2693" w:type="dxa"/>
            <w:gridSpan w:val="2"/>
          </w:tcPr>
          <w:p w:rsidR="00943505" w:rsidRDefault="00943505" w:rsidP="008B5AA0">
            <w:pPr>
              <w:spacing w:after="0" w:line="240" w:lineRule="auto"/>
              <w:jc w:val="both"/>
            </w:pPr>
            <w:r w:rsidRPr="00943505">
              <w:t>Межрегиональный общественный фонд «Сибирский Центр Поддержки Общественных Инициатив»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 xml:space="preserve">Президент 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>Малицкая Елена Павловна,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>(383) 254-00-24, (383) 254-00-25,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 xml:space="preserve">lena@cip.nsk.su, </w:t>
            </w:r>
            <w:hyperlink r:id="rId9" w:history="1">
              <w:r w:rsidRPr="00943505">
                <w:rPr>
                  <w:rStyle w:val="a7"/>
                </w:rPr>
                <w:t>scisc@cip.nsk.su</w:t>
              </w:r>
            </w:hyperlink>
            <w:r w:rsidRPr="00943505">
              <w:t>,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943505">
                <w:t>630102, г</w:t>
              </w:r>
            </w:smartTag>
            <w:r w:rsidRPr="00943505">
              <w:t xml:space="preserve">. Новосибирск, 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>ул. Восход 14/1, 3 этаж</w:t>
            </w:r>
          </w:p>
        </w:tc>
        <w:tc>
          <w:tcPr>
            <w:tcW w:w="1276" w:type="dxa"/>
            <w:gridSpan w:val="2"/>
          </w:tcPr>
          <w:p w:rsidR="00943505" w:rsidRPr="00943505" w:rsidRDefault="00943505" w:rsidP="008B5AA0">
            <w:pPr>
              <w:spacing w:line="240" w:lineRule="auto"/>
              <w:jc w:val="both"/>
            </w:pPr>
            <w:r w:rsidRPr="00943505">
              <w:t>4055359</w:t>
            </w:r>
          </w:p>
        </w:tc>
        <w:tc>
          <w:tcPr>
            <w:tcW w:w="5386" w:type="dxa"/>
          </w:tcPr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rPr>
                <w:bCs/>
              </w:rPr>
              <w:t xml:space="preserve">На базе МОФ СЦПОИ работает Межрегиональный ресурсный центр для СО НКО Сибири. Деятельность РЦ осуществляется совместно с организациями-партнерами в 7 регионах.  СО НКО в каждом регионе могут получить </w:t>
            </w:r>
            <w:r w:rsidRPr="00943505">
              <w:t xml:space="preserve">консультации специалистов: юриста, бухгалтера, системного администратора; сопровождение проектной и программной деятельности некоммерческих организаций; пользование библиотекой. Некоторые услуги СО НКО будут получать в регионе, часть - «централизованно». 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rPr>
                <w:bCs/>
              </w:rPr>
              <w:t xml:space="preserve">На базе РЦ будут проводиться </w:t>
            </w:r>
            <w:r w:rsidRPr="00943505">
              <w:t>информационные встречи,</w:t>
            </w:r>
            <w:r w:rsidRPr="00943505">
              <w:rPr>
                <w:bCs/>
              </w:rPr>
              <w:t xml:space="preserve"> круглые столы, встречи клуба бухгалтеров, обучающие семинары и другие мероприятия, укрепляющие некоммерческий сектор и развивающие общественные инициативы. 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  <w:rPr>
                <w:bCs/>
              </w:rPr>
            </w:pPr>
            <w:r w:rsidRPr="00943505">
              <w:rPr>
                <w:bCs/>
              </w:rPr>
              <w:t>Межрегиональный ресурсный центр окажет поддержку инициативным группам, желающим зарегистрировать некоммерческую организацию, и организациям, стремящимся расширить свои возможности через интернет-</w:t>
            </w:r>
            <w:proofErr w:type="spellStart"/>
            <w:r w:rsidRPr="00943505">
              <w:rPr>
                <w:bCs/>
              </w:rPr>
              <w:t>фандрайзинг</w:t>
            </w:r>
            <w:proofErr w:type="spellEnd"/>
            <w:r w:rsidRPr="00943505">
              <w:rPr>
                <w:bCs/>
              </w:rPr>
              <w:t xml:space="preserve">. 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  <w:rPr>
                <w:bCs/>
              </w:rPr>
            </w:pPr>
            <w:r w:rsidRPr="00943505">
              <w:t>Объявлен конкурс на поездки по обмену опытом для сотрудников СО НКО.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>Опыт деятельности СО НКО освещается в информационных вестниках и в информационно-аналитическом журнале «Эффект присутствия». Принятые на территориях нормотворческие акты включаются в базу данных механизмов развития и поддержки гражданского общества.</w:t>
            </w:r>
          </w:p>
          <w:p w:rsidR="00943505" w:rsidRPr="00943505" w:rsidRDefault="00943505" w:rsidP="008B5AA0">
            <w:pPr>
              <w:spacing w:after="0" w:line="240" w:lineRule="auto"/>
              <w:jc w:val="both"/>
            </w:pPr>
            <w:r w:rsidRPr="00943505">
              <w:t>Услугами Межрегионального ресурсного центра могут воспользоваться социально ориентированные некоммерческие общественные организации и инициативные группы граждан, желающие зарегистрировать свою НКО, действующие на территории 7 указанных регионов.</w:t>
            </w:r>
          </w:p>
        </w:tc>
      </w:tr>
    </w:tbl>
    <w:p w:rsidR="00943505" w:rsidRPr="00943505" w:rsidRDefault="00943505" w:rsidP="00943505">
      <w:pPr>
        <w:pStyle w:val="a3"/>
      </w:pPr>
    </w:p>
    <w:p w:rsidR="00943505" w:rsidRPr="00943505" w:rsidRDefault="00943505" w:rsidP="00943505">
      <w:pPr>
        <w:pStyle w:val="a3"/>
      </w:pPr>
    </w:p>
    <w:p w:rsidR="00943505" w:rsidRPr="00142304" w:rsidRDefault="00943505" w:rsidP="00142304">
      <w:pPr>
        <w:spacing w:line="240" w:lineRule="auto"/>
        <w:rPr>
          <w:b/>
        </w:rPr>
      </w:pPr>
      <w:r w:rsidRPr="00142304">
        <w:rPr>
          <w:b/>
        </w:rPr>
        <w:lastRenderedPageBreak/>
        <w:t xml:space="preserve">Победители конкурсного отбора </w:t>
      </w:r>
      <w:r w:rsidRPr="00142304">
        <w:rPr>
          <w:b/>
        </w:rPr>
        <w:br/>
        <w:t xml:space="preserve">социально ориентированных некоммерческих организаций </w:t>
      </w:r>
      <w:r w:rsidRPr="00142304">
        <w:rPr>
          <w:b/>
        </w:rPr>
        <w:br/>
        <w:t>для предоставления субсидий из федерального бюджета 2012 года</w:t>
      </w:r>
      <w:r w:rsidR="007966EB">
        <w:rPr>
          <w:b/>
        </w:rPr>
        <w:t xml:space="preserve"> ( реализация проектов осуществлялась полтора года – 2012-2013 годы)</w:t>
      </w:r>
    </w:p>
    <w:p w:rsidR="00943505" w:rsidRPr="00142304" w:rsidRDefault="00943505" w:rsidP="00142304">
      <w:pPr>
        <w:spacing w:line="240" w:lineRule="auto"/>
        <w:rPr>
          <w:b/>
        </w:rPr>
      </w:pPr>
      <w:r w:rsidRPr="00142304">
        <w:rPr>
          <w:b/>
        </w:rPr>
        <w:t>Программы СО НКО</w:t>
      </w:r>
      <w:r w:rsidR="00142304">
        <w:rPr>
          <w:b/>
        </w:rPr>
        <w:t xml:space="preserve">; </w:t>
      </w:r>
      <w:r w:rsidRPr="00142304">
        <w:rPr>
          <w:b/>
        </w:rPr>
        <w:t>СФО</w:t>
      </w:r>
    </w:p>
    <w:p w:rsidR="00943505" w:rsidRPr="00943505" w:rsidRDefault="00943505" w:rsidP="00943505">
      <w:pPr>
        <w:pStyle w:val="a3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42"/>
        <w:gridCol w:w="1276"/>
        <w:gridCol w:w="5386"/>
      </w:tblGrid>
      <w:tr w:rsidR="00943505" w:rsidRPr="00943505" w:rsidTr="00E805A7">
        <w:tc>
          <w:tcPr>
            <w:tcW w:w="392" w:type="dxa"/>
          </w:tcPr>
          <w:p w:rsidR="00943505" w:rsidRPr="00943505" w:rsidRDefault="00943505" w:rsidP="00DB27F4">
            <w:pPr>
              <w:pStyle w:val="a3"/>
              <w:spacing w:after="0" w:line="240" w:lineRule="auto"/>
              <w:rPr>
                <w:b/>
              </w:rPr>
            </w:pPr>
            <w:r w:rsidRPr="00943505">
              <w:rPr>
                <w:b/>
              </w:rPr>
              <w:t xml:space="preserve">№ </w:t>
            </w:r>
          </w:p>
        </w:tc>
        <w:tc>
          <w:tcPr>
            <w:tcW w:w="2835" w:type="dxa"/>
            <w:gridSpan w:val="2"/>
          </w:tcPr>
          <w:p w:rsidR="00943505" w:rsidRPr="00DB27F4" w:rsidRDefault="00943505" w:rsidP="00DB27F4">
            <w:pPr>
              <w:spacing w:after="0" w:line="240" w:lineRule="auto"/>
              <w:rPr>
                <w:b/>
              </w:rPr>
            </w:pPr>
            <w:r w:rsidRPr="00DB27F4">
              <w:rPr>
                <w:b/>
              </w:rPr>
              <w:t>Наименование социально ориентированной некоммерческой организации, должность и ФИО руководителя, контакты</w:t>
            </w:r>
          </w:p>
        </w:tc>
        <w:tc>
          <w:tcPr>
            <w:tcW w:w="1276" w:type="dxa"/>
          </w:tcPr>
          <w:p w:rsidR="00943505" w:rsidRPr="00DB27F4" w:rsidRDefault="00943505" w:rsidP="00DB27F4">
            <w:pPr>
              <w:spacing w:after="0" w:line="240" w:lineRule="auto"/>
              <w:rPr>
                <w:b/>
              </w:rPr>
            </w:pPr>
            <w:r w:rsidRPr="00DB27F4">
              <w:rPr>
                <w:b/>
              </w:rPr>
              <w:t>Размер субсидии, руб.</w:t>
            </w:r>
          </w:p>
        </w:tc>
        <w:tc>
          <w:tcPr>
            <w:tcW w:w="5386" w:type="dxa"/>
          </w:tcPr>
          <w:p w:rsidR="00943505" w:rsidRPr="00943505" w:rsidRDefault="00943505" w:rsidP="00DB27F4">
            <w:pPr>
              <w:pStyle w:val="a3"/>
              <w:spacing w:after="0" w:line="240" w:lineRule="auto"/>
              <w:rPr>
                <w:b/>
              </w:rPr>
            </w:pPr>
            <w:r w:rsidRPr="00943505">
              <w:rPr>
                <w:b/>
              </w:rPr>
              <w:t>Краткое описание мероприятий программы</w:t>
            </w:r>
          </w:p>
        </w:tc>
      </w:tr>
      <w:tr w:rsidR="00943505" w:rsidRPr="00943505" w:rsidTr="00E805A7">
        <w:trPr>
          <w:trHeight w:val="350"/>
        </w:trPr>
        <w:tc>
          <w:tcPr>
            <w:tcW w:w="9889" w:type="dxa"/>
            <w:gridSpan w:val="5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Межрегиональные ресурсные центры</w:t>
            </w:r>
          </w:p>
        </w:tc>
      </w:tr>
      <w:tr w:rsidR="00943505" w:rsidRPr="00943505" w:rsidTr="00E805A7">
        <w:trPr>
          <w:trHeight w:val="1107"/>
        </w:trPr>
        <w:tc>
          <w:tcPr>
            <w:tcW w:w="392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</w:p>
        </w:tc>
        <w:tc>
          <w:tcPr>
            <w:tcW w:w="2835" w:type="dxa"/>
            <w:gridSpan w:val="2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t>Кемеровская региональная общественная организация Кузбасский центр «Инициатива»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Тел.: (3842) 363765</w:t>
            </w:r>
          </w:p>
          <w:p w:rsidR="00943505" w:rsidRPr="00943505" w:rsidRDefault="00920194" w:rsidP="00DB27F4">
            <w:pPr>
              <w:spacing w:after="0" w:line="240" w:lineRule="auto"/>
            </w:pPr>
            <w:hyperlink r:id="rId10" w:history="1">
              <w:r w:rsidR="00943505" w:rsidRPr="00943505">
                <w:rPr>
                  <w:rStyle w:val="a7"/>
                </w:rPr>
                <w:t>smk@kemail.ru</w:t>
              </w:r>
            </w:hyperlink>
          </w:p>
          <w:p w:rsidR="00943505" w:rsidRPr="00943505" w:rsidRDefault="00943505" w:rsidP="00DB27F4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50099, г"/>
              </w:smartTagPr>
              <w:r w:rsidRPr="00943505">
                <w:t xml:space="preserve">650099, </w:t>
              </w:r>
              <w:proofErr w:type="spellStart"/>
              <w:r w:rsidRPr="00943505">
                <w:t>г</w:t>
              </w:r>
            </w:smartTag>
            <w:r w:rsidRPr="00943505">
              <w:t>.Кемерово</w:t>
            </w:r>
            <w:proofErr w:type="spellEnd"/>
            <w:r w:rsidRPr="00943505">
              <w:t xml:space="preserve">, ул. </w:t>
            </w:r>
            <w:proofErr w:type="spellStart"/>
            <w:r w:rsidRPr="00943505">
              <w:t>Ноградская</w:t>
            </w:r>
            <w:proofErr w:type="spellEnd"/>
            <w:r w:rsidRPr="00943505">
              <w:t>, 3 – 20</w:t>
            </w:r>
          </w:p>
        </w:tc>
        <w:tc>
          <w:tcPr>
            <w:tcW w:w="1276" w:type="dxa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t>4257890,29</w:t>
            </w:r>
          </w:p>
        </w:tc>
        <w:tc>
          <w:tcPr>
            <w:tcW w:w="5386" w:type="dxa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t>Программа будет реализовываться на территории 10 субъектов Российской Федерации, в том числе в Новосибирской, Томской, Тюменской, Кемеровской, Омской, Иркутской, областях, в Алтайском, Забайкальском, Красноярском краях, Республике Бурятия.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Цель программы оказание содействия социально ориентированным некоммерческим организациям, работающим в сфере оказания социальных услуг населению.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Задачи программы: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Обобщить опыт работы социально ориентированных некоммерческих организаций в сфере социальных услуг.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Выработать рекомендации по совершенствованию механизмов участия социально ориентированных НКО в сфере сказания социальных услуг на федеральном и региональных уровнях.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Тиражировать эффективные и инновационные инструменты социально ориентированных НКО в целях улучшения сферы социальных услуг.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В рамках программы объективную информацию и опыт получат более 500 социально ориентированных некоммерческих организаций из 10 регионов Российской Федерации. Влияние программы на целевую группу будет двойным. Социально ориентированные НКО получат опыт, который повысит их профессионализм, а также выгоду от продвижения их через информационные каналы программы. Для НКО это означает, что они получат больший доступ и больше возможности вносить свой вклад в формирование политики социальных услуг в своем сообществе. Представители органов власти также получат пользу от программы, поскольку это улучшит их доступ к информации, в которой они нуждаются для повышения эффективности своей деятельности.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 xml:space="preserve">Среди основных мероприятий программы проведение анализа законодательства деятельности </w:t>
            </w:r>
            <w:r w:rsidRPr="00943505">
              <w:lastRenderedPageBreak/>
              <w:t>социально ориентированных НКО на региональном уровне, выявление, обобщение и распространение лучших практик реализации проектов социально ориентированных некоммерческих организаций.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В октябре 2013 года в рамках программы состоится оценочная конференция, участники которой обобщат наработанные данные и полученный опыт, разработают механизмы дальнейшей работы, возможные перспективы для реализации межрегиональной программы.</w:t>
            </w:r>
          </w:p>
        </w:tc>
      </w:tr>
      <w:tr w:rsidR="00943505" w:rsidRPr="00943505" w:rsidTr="00E805A7">
        <w:tc>
          <w:tcPr>
            <w:tcW w:w="9889" w:type="dxa"/>
            <w:gridSpan w:val="5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lastRenderedPageBreak/>
              <w:t>Региональные ресурсные центры</w:t>
            </w:r>
          </w:p>
        </w:tc>
      </w:tr>
      <w:tr w:rsidR="00943505" w:rsidRPr="00943505" w:rsidTr="00E805A7">
        <w:tc>
          <w:tcPr>
            <w:tcW w:w="392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33</w:t>
            </w:r>
          </w:p>
        </w:tc>
        <w:tc>
          <w:tcPr>
            <w:tcW w:w="2835" w:type="dxa"/>
            <w:gridSpan w:val="2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Омская региональная общественная организация «Центр развития общественных инициатив»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Тел.: (3812) 232320</w:t>
            </w:r>
          </w:p>
          <w:p w:rsidR="00943505" w:rsidRPr="00943505" w:rsidRDefault="00920194" w:rsidP="00DB27F4">
            <w:pPr>
              <w:pStyle w:val="a3"/>
              <w:spacing w:after="0" w:line="240" w:lineRule="auto"/>
            </w:pPr>
            <w:hyperlink r:id="rId11" w:history="1">
              <w:r w:rsidR="00943505" w:rsidRPr="00943505">
                <w:rPr>
                  <w:rStyle w:val="a7"/>
                </w:rPr>
                <w:t>info@omskngo.ru</w:t>
              </w:r>
            </w:hyperlink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smartTag w:uri="urn:schemas-microsoft-com:office:smarttags" w:element="metricconverter">
              <w:smartTagPr>
                <w:attr w:name="ProductID" w:val="644043, г"/>
              </w:smartTagPr>
              <w:r w:rsidRPr="00943505">
                <w:t>644043, г</w:t>
              </w:r>
            </w:smartTag>
            <w:r w:rsidRPr="00943505">
              <w:t xml:space="preserve">. Омск, ул. Красный путь, д. 9, </w:t>
            </w:r>
            <w:proofErr w:type="spellStart"/>
            <w:r w:rsidRPr="00943505">
              <w:t>каб</w:t>
            </w:r>
            <w:proofErr w:type="spellEnd"/>
            <w:r w:rsidRPr="00943505">
              <w:t>. 428 Б</w:t>
            </w:r>
          </w:p>
        </w:tc>
        <w:tc>
          <w:tcPr>
            <w:tcW w:w="1276" w:type="dxa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t>1430616</w:t>
            </w:r>
          </w:p>
        </w:tc>
        <w:tc>
          <w:tcPr>
            <w:tcW w:w="5386" w:type="dxa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t>Повышение профессионального уровня и компетентности  сотрудников и членов СО НКО: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Проведение 13 обучающих семинаров.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Проведение 3 круглых столов по вопросам взаимодействия СО НКО и органов власти.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Организация стажировок в опытных НКО  для 5 начинающих деятельность СО НКО из сельских районов.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Организация и проведение регионального конкурса  публичных годовых отчетов СО НКО.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Выявление, обобщение и распространение лучших практик СО НКО: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 xml:space="preserve"> Проведение исследования «Вклад социально ориентированных НКО в социальную сферу региона».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Проведение конференции «Проблемы и перспективы развития СО НКО».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 xml:space="preserve"> Проведение форума «СО НКО. Опыт. Лучшие практики. Перспективы», выставки - ярмарки СО НКО.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 xml:space="preserve"> Выпуск брошюры по итогам реализации Программы с описанием лучших практик и опыта СО НКО.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Оказание информационной поддержки СО НКО: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Выпуск «Вестника НКО».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Выпуск информационных буклетов для 15 СО НКО.</w:t>
            </w:r>
          </w:p>
          <w:p w:rsidR="00D71A2E" w:rsidRDefault="00943505" w:rsidP="00DB27F4">
            <w:pPr>
              <w:spacing w:after="0" w:line="240" w:lineRule="auto"/>
            </w:pPr>
            <w:r w:rsidRPr="00943505">
              <w:t>Размещение на сайте www.omskngo.ru  информации о деятельности СО НКО.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 xml:space="preserve"> Социальная реклама деятельности СО НКО. 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Организация информационной кампании «День открытых дверей СО НКО».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Привлечение молодежного ресурса для развития и  поддержки социально ориентированных некоммерческих организаций: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Информирование студентов о Программе: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электронная рассылка, сайт, распространение информационного буклета о Программе;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 xml:space="preserve"> информационные встречи в ВУЗах, анкетирование студентов.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Практическая деятельность студентов по поддержке  СО НКО: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организация практики на базе РЦ, СО НКО;</w:t>
            </w:r>
          </w:p>
          <w:p w:rsidR="00943505" w:rsidRPr="00943505" w:rsidRDefault="00943505" w:rsidP="00DB27F4">
            <w:pPr>
              <w:spacing w:after="0" w:line="240" w:lineRule="auto"/>
            </w:pPr>
            <w:r w:rsidRPr="00943505">
              <w:t>подготовка материалов о деятельности, лучших практиках СО НКО в «Вестник НКО», на сайт, в брошюру по итогам программы;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 xml:space="preserve">- PR - сопровождение коалиционных акций, </w:t>
            </w:r>
            <w:r w:rsidRPr="00943505">
              <w:lastRenderedPageBreak/>
              <w:t>мероприятий программы;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участие в проведении исследования «Вклад социально ориентированных НКО в социальную сферу региона»;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участие в рабочей группе по подготовке форума СО НКО;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подготовка и проведение семинара «Связи с общественностью в НКО»;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подготовка и проведение круглого стола «Социально ориентированных  НКО и СМИ»;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оказание конкретной помощи  СО НКО в привлечении ресурсов, в подготовке пресс - релизов, в разработке сценариев, организации и проведении мероприятий для целевых групп;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подготовка информационных буклетов о деятельности для 15 СО НКО.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Проведение конкурса студенческих PR - проектов  в сфере развития связей с общественностью и продвижения социально ориентированных НКО.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Предоставление комплекса услуг СО НКО на базе ресурсного центра: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предоставление информационных и технических услуг;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проведение консультаций по вопросам деятельности СО НКО;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предоставление услуг связи;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оказание помощи в подготовке и проведении мероприятий, участии в коалиционных акциях;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- сопровождение проектной деятельности СО НКО.</w:t>
            </w:r>
          </w:p>
        </w:tc>
      </w:tr>
      <w:tr w:rsidR="00943505" w:rsidRPr="00943505" w:rsidTr="00E805A7">
        <w:tc>
          <w:tcPr>
            <w:tcW w:w="9889" w:type="dxa"/>
            <w:gridSpan w:val="5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lastRenderedPageBreak/>
              <w:t>Дошкольное образование и воспитание</w:t>
            </w:r>
          </w:p>
        </w:tc>
      </w:tr>
      <w:tr w:rsidR="00943505" w:rsidRPr="00943505" w:rsidTr="00E805A7">
        <w:tc>
          <w:tcPr>
            <w:tcW w:w="392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</w:p>
        </w:tc>
        <w:tc>
          <w:tcPr>
            <w:tcW w:w="2693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Красноярское региональное общественное движение «Родители за здоровое поколение»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Тел.: (391)2145505</w:t>
            </w:r>
          </w:p>
          <w:p w:rsidR="00943505" w:rsidRPr="00943505" w:rsidRDefault="00920194" w:rsidP="00DB27F4">
            <w:pPr>
              <w:pStyle w:val="a3"/>
              <w:spacing w:after="0" w:line="240" w:lineRule="auto"/>
            </w:pPr>
            <w:hyperlink r:id="rId12" w:history="1">
              <w:r w:rsidR="00943505" w:rsidRPr="00943505">
                <w:rPr>
                  <w:rStyle w:val="a7"/>
                </w:rPr>
                <w:t>voronovam@mail.ru</w:t>
              </w:r>
            </w:hyperlink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 xml:space="preserve">660113 . Красноярск, ул. </w:t>
            </w:r>
            <w:proofErr w:type="spellStart"/>
            <w:r w:rsidRPr="00943505">
              <w:t>Крабышева</w:t>
            </w:r>
            <w:proofErr w:type="spellEnd"/>
            <w:r w:rsidRPr="00943505">
              <w:t xml:space="preserve"> 24 Б</w:t>
            </w:r>
          </w:p>
        </w:tc>
        <w:tc>
          <w:tcPr>
            <w:tcW w:w="1418" w:type="dxa"/>
            <w:gridSpan w:val="2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t>4257890,29</w:t>
            </w:r>
          </w:p>
        </w:tc>
        <w:tc>
          <w:tcPr>
            <w:tcW w:w="5386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1. Организация работы с социально-ориентированных НКО и с целевой аудиторией родителей, посещающих инновационные дошкольные организации.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2. Создание региональных Центров развития инновационных форм дошкольного образования и воспитания Межрегиональной ассоциации дошкольного воспитания и образования и Российской саморегулируемой организации.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3. Создание информационного портала региональных Центров развития инновационных форм дошкольного воспитания и образования .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 xml:space="preserve">4. Формирование </w:t>
            </w:r>
            <w:proofErr w:type="spellStart"/>
            <w:r w:rsidRPr="00943505">
              <w:t>стажировочной</w:t>
            </w:r>
            <w:proofErr w:type="spellEnd"/>
            <w:r w:rsidRPr="00943505">
              <w:t xml:space="preserve"> площадки для работы с регионами .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5. Создание переговорного пространства в регионах Российской Федерации.</w:t>
            </w:r>
          </w:p>
        </w:tc>
      </w:tr>
      <w:tr w:rsidR="00943505" w:rsidRPr="00943505" w:rsidTr="00E805A7">
        <w:tc>
          <w:tcPr>
            <w:tcW w:w="9889" w:type="dxa"/>
            <w:gridSpan w:val="5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Ресурсные центры по развитию фондов местных сообществ</w:t>
            </w:r>
          </w:p>
        </w:tc>
      </w:tr>
      <w:tr w:rsidR="00943505" w:rsidRPr="00943505" w:rsidTr="00E805A7">
        <w:tc>
          <w:tcPr>
            <w:tcW w:w="392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</w:p>
        </w:tc>
        <w:tc>
          <w:tcPr>
            <w:tcW w:w="2693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Городской благотворительны</w:t>
            </w:r>
            <w:r w:rsidRPr="00943505">
              <w:lastRenderedPageBreak/>
              <w:t>й фонд «Развитие»</w:t>
            </w:r>
          </w:p>
          <w:p w:rsidR="00943505" w:rsidRPr="00943505" w:rsidRDefault="00943505" w:rsidP="00DB27F4">
            <w:pPr>
              <w:pStyle w:val="a3"/>
              <w:spacing w:after="0" w:line="240" w:lineRule="auto"/>
            </w:pPr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Тел.: (385-57) 46147</w:t>
            </w:r>
          </w:p>
          <w:p w:rsidR="00943505" w:rsidRPr="00943505" w:rsidRDefault="00920194" w:rsidP="00DB27F4">
            <w:pPr>
              <w:pStyle w:val="a3"/>
              <w:spacing w:after="0" w:line="240" w:lineRule="auto"/>
            </w:pPr>
            <w:hyperlink r:id="rId13" w:history="1">
              <w:r w:rsidR="00943505" w:rsidRPr="00943505">
                <w:rPr>
                  <w:rStyle w:val="a7"/>
                </w:rPr>
                <w:t>fond-razvitie@bk.ru</w:t>
              </w:r>
            </w:hyperlink>
          </w:p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>658200 Алтайский край, г. Рубцовск, переулок Гражданский, 33</w:t>
            </w:r>
          </w:p>
        </w:tc>
        <w:tc>
          <w:tcPr>
            <w:tcW w:w="1418" w:type="dxa"/>
            <w:gridSpan w:val="2"/>
          </w:tcPr>
          <w:p w:rsidR="00943505" w:rsidRPr="00943505" w:rsidRDefault="00943505" w:rsidP="00DB27F4">
            <w:pPr>
              <w:spacing w:after="0" w:line="240" w:lineRule="auto"/>
            </w:pPr>
            <w:r w:rsidRPr="00943505">
              <w:lastRenderedPageBreak/>
              <w:t>1722138</w:t>
            </w:r>
          </w:p>
        </w:tc>
        <w:tc>
          <w:tcPr>
            <w:tcW w:w="5386" w:type="dxa"/>
          </w:tcPr>
          <w:p w:rsidR="00943505" w:rsidRPr="00943505" w:rsidRDefault="00943505" w:rsidP="00DB27F4">
            <w:pPr>
              <w:pStyle w:val="a3"/>
              <w:spacing w:after="0" w:line="240" w:lineRule="auto"/>
            </w:pPr>
            <w:r w:rsidRPr="00943505">
              <w:t xml:space="preserve">Цель программы: Развитие деятельности Алтайского Альянса Фондов местных </w:t>
            </w:r>
            <w:r w:rsidRPr="00943505">
              <w:lastRenderedPageBreak/>
              <w:t xml:space="preserve">сообществ. В рамках программы будет проведено 2 рабочие встречи членов Альянса. На территории Алтайского края и Республики Алтай будут определены города и села, имеющие потенциальные ресурсы для создания Фондов местных сообществ (ФМС). В трех выбранных муниципальных округах будут сформированы 3 инициативные группы по созданию ФМС. Представители инициативных групп от членов Алтайского Альянса получат необходимые консультации  по вопросам создания и развития деятельности ФМС. Будет организовано 7 обучающих семинаров и мастер-классов для представителей инициативных групп, сотрудников новых Фондов местных сообществ и членов Альянса. В качестве тренеров и экспертов будут приглашены руководители Фондов местных сообществ, входящих в Партнерство ФМС. Будет проведено 2 Собрания членов Алтайского Альянса с приглашением директоров ФМС из других территорий Сибирского Федерального Округа и экспертов. Членами Альянса будет реализовано 2 совместных проекта. Результаты деятельности Алтайского Альянса в 2012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43505">
                <w:t>2013 г</w:t>
              </w:r>
            </w:smartTag>
            <w:r w:rsidRPr="00943505">
              <w:t xml:space="preserve">. будут представлены профессиональному специалисту, который произведет их анализ и подготовит рекомендации по дальнейшему развитию деятельности Альянса. Будет утверждена Программа работы Альянса в 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43505">
                <w:t>2016 г</w:t>
              </w:r>
            </w:smartTag>
            <w:r w:rsidRPr="00943505">
              <w:t>. Будет создан сайт Алтайского Альянса ФМС.</w:t>
            </w:r>
          </w:p>
        </w:tc>
      </w:tr>
    </w:tbl>
    <w:p w:rsidR="00943505" w:rsidRPr="00943505" w:rsidRDefault="00943505" w:rsidP="00DB27F4">
      <w:pPr>
        <w:pStyle w:val="a3"/>
        <w:spacing w:after="0" w:line="240" w:lineRule="auto"/>
      </w:pPr>
    </w:p>
    <w:p w:rsidR="00925E83" w:rsidRDefault="00CD3AC1" w:rsidP="008226D6">
      <w:pPr>
        <w:spacing w:after="0" w:line="240" w:lineRule="auto"/>
        <w:jc w:val="both"/>
      </w:pPr>
      <w:r>
        <w:t>В рамках Конкурсного отбора субъектов Российской Федерации для предоставления субсидий из федерального бюджета в 2013 году (определялся Постановление</w:t>
      </w:r>
      <w:r w:rsidR="008226D6">
        <w:t>м</w:t>
      </w:r>
      <w:r>
        <w:t xml:space="preserve"> Правительства Российской Федерации от 23 августа 2011 г. № 713</w:t>
      </w:r>
      <w:r w:rsidR="008226D6">
        <w:t xml:space="preserve"> </w:t>
      </w:r>
      <w:r>
        <w:t xml:space="preserve">- правила предоставления субсидий и </w:t>
      </w:r>
      <w:r w:rsidR="00925E83">
        <w:t xml:space="preserve">Приказ Минэкономразвития России от 8 сентября 2011 г. № 465 (в редакции от 1 февраля 2013 г.)- конкурсная  документация) было распределено 630 </w:t>
      </w:r>
      <w:proofErr w:type="spellStart"/>
      <w:r w:rsidR="00925E83">
        <w:t>млн.рублей</w:t>
      </w:r>
      <w:proofErr w:type="spellEnd"/>
      <w:r w:rsidR="00925E83">
        <w:t>. На конкурс было подано 69 заявок от регионов РФ ( каждый регион подавал одну заявку), по формальным признакам были отклонены 3 заявки, к рассмотрению были допущены 66 заявок, 49 получили финансирование. Из СФО заявки от субъектов федерации были поданы от всех регионов, кроме Республики Хакасия. Финансирование получили  9 субъектов.</w:t>
      </w:r>
    </w:p>
    <w:p w:rsidR="00DB27F4" w:rsidRDefault="00DB27F4" w:rsidP="00DB27F4">
      <w:pPr>
        <w:spacing w:after="0" w:line="240" w:lineRule="auto"/>
      </w:pPr>
    </w:p>
    <w:p w:rsidR="00925E83" w:rsidRPr="00DB27F4" w:rsidRDefault="00DB27F4" w:rsidP="00DB27F4">
      <w:pPr>
        <w:spacing w:after="0" w:line="240" w:lineRule="auto"/>
        <w:rPr>
          <w:b/>
        </w:rPr>
      </w:pPr>
      <w:r>
        <w:rPr>
          <w:b/>
        </w:rPr>
        <w:t>Список субъектов СФО —</w:t>
      </w:r>
      <w:r w:rsidR="00925E83" w:rsidRPr="00DB27F4">
        <w:rPr>
          <w:b/>
        </w:rPr>
        <w:t>победителей конкурса для предоставления субсидий</w:t>
      </w:r>
      <w:r w:rsidR="00925E83" w:rsidRPr="00DB27F4">
        <w:rPr>
          <w:b/>
        </w:rPr>
        <w:br/>
        <w:t>из федерального бюджета (конкурс МЭР РФ) Региональные программы</w:t>
      </w:r>
    </w:p>
    <w:p w:rsidR="00925E83" w:rsidRPr="00925E83" w:rsidRDefault="00925E83" w:rsidP="00DB27F4">
      <w:pPr>
        <w:pStyle w:val="a3"/>
        <w:spacing w:after="0" w:line="240" w:lineRule="auto"/>
      </w:pPr>
    </w:p>
    <w:tbl>
      <w:tblPr>
        <w:tblW w:w="8798" w:type="dxa"/>
        <w:tblBorders>
          <w:top w:val="single" w:sz="4" w:space="0" w:color="128CD0"/>
          <w:left w:val="single" w:sz="4" w:space="0" w:color="128CD0"/>
          <w:bottom w:val="single" w:sz="4" w:space="0" w:color="128CD0"/>
          <w:right w:val="single" w:sz="4" w:space="0" w:color="128CD0"/>
          <w:insideH w:val="single" w:sz="4" w:space="0" w:color="128CD0"/>
          <w:insideV w:val="single" w:sz="4" w:space="0" w:color="128CD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4088"/>
        <w:gridCol w:w="1984"/>
        <w:gridCol w:w="1984"/>
      </w:tblGrid>
      <w:tr w:rsidR="00925E83" w:rsidRPr="00925E83" w:rsidTr="00E805A7">
        <w:trPr>
          <w:trHeight w:hRule="exact" w:val="958"/>
          <w:tblHeader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E0F2FC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№</w:t>
            </w: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E0F2FC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Наименование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E0F2FC"/>
            <w:hideMark/>
          </w:tcPr>
          <w:p w:rsidR="00925E83" w:rsidRPr="00925E83" w:rsidRDefault="00925E83" w:rsidP="00925E83">
            <w:pPr>
              <w:pStyle w:val="a3"/>
              <w:rPr>
                <w:b/>
              </w:rPr>
            </w:pPr>
            <w:r w:rsidRPr="00925E83">
              <w:rPr>
                <w:b/>
              </w:rPr>
              <w:t>2012 год</w:t>
            </w:r>
          </w:p>
          <w:p w:rsidR="00925E83" w:rsidRPr="00925E83" w:rsidRDefault="00925E83" w:rsidP="00925E83">
            <w:pPr>
              <w:pStyle w:val="a3"/>
            </w:pPr>
            <w:r w:rsidRPr="00925E83">
              <w:t>Размер субсидии,</w:t>
            </w:r>
            <w:r w:rsidRPr="00925E83">
              <w:br/>
              <w:t>тыс. рублей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E0F2FC"/>
          </w:tcPr>
          <w:p w:rsidR="00925E83" w:rsidRPr="00925E83" w:rsidRDefault="00925E83" w:rsidP="00925E83">
            <w:pPr>
              <w:pStyle w:val="a3"/>
              <w:rPr>
                <w:b/>
              </w:rPr>
            </w:pPr>
            <w:r w:rsidRPr="00925E83">
              <w:rPr>
                <w:b/>
              </w:rPr>
              <w:t>2013 год</w:t>
            </w:r>
          </w:p>
          <w:p w:rsidR="00925E83" w:rsidRPr="00925E83" w:rsidRDefault="00925E83" w:rsidP="00925E83">
            <w:pPr>
              <w:pStyle w:val="a3"/>
            </w:pPr>
            <w:r w:rsidRPr="00925E83">
              <w:t>Размер субсидии,</w:t>
            </w:r>
            <w:r w:rsidRPr="00925E83">
              <w:br/>
              <w:t>тыс. рублей</w:t>
            </w:r>
          </w:p>
        </w:tc>
      </w:tr>
      <w:tr w:rsidR="00925E83" w:rsidRPr="00925E83" w:rsidTr="00E805A7">
        <w:trPr>
          <w:trHeight w:hRule="exact" w:val="328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Республика Алтай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4 702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4 942</w:t>
            </w:r>
          </w:p>
        </w:tc>
      </w:tr>
      <w:tr w:rsidR="00925E83" w:rsidRPr="00925E83" w:rsidTr="00E805A7">
        <w:trPr>
          <w:trHeight w:hRule="exact" w:val="324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Республика Бурятия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8 612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9 636</w:t>
            </w:r>
          </w:p>
        </w:tc>
      </w:tr>
      <w:tr w:rsidR="00925E83" w:rsidRPr="00925E83" w:rsidTr="00E805A7">
        <w:trPr>
          <w:trHeight w:hRule="exact" w:val="324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Республика Тыва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5 682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</w:p>
        </w:tc>
      </w:tr>
      <w:tr w:rsidR="00925E83" w:rsidRPr="00925E83" w:rsidTr="00E805A7">
        <w:trPr>
          <w:trHeight w:hRule="exact" w:val="324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Алтайский край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14031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17 958</w:t>
            </w:r>
          </w:p>
        </w:tc>
      </w:tr>
      <w:tr w:rsidR="00925E83" w:rsidRPr="00925E83" w:rsidTr="00E805A7">
        <w:trPr>
          <w:trHeight w:hRule="exact" w:val="328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Красноярский край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18 890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24 677</w:t>
            </w:r>
          </w:p>
        </w:tc>
      </w:tr>
      <w:tr w:rsidR="00925E83" w:rsidRPr="00925E83" w:rsidTr="00E805A7">
        <w:trPr>
          <w:trHeight w:hRule="exact" w:val="338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Иркутская область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12 542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15 153</w:t>
            </w:r>
          </w:p>
        </w:tc>
      </w:tr>
      <w:tr w:rsidR="00925E83" w:rsidRPr="00925E83" w:rsidTr="00E805A7">
        <w:trPr>
          <w:trHeight w:hRule="exact" w:val="335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Новосибирская область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18 024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32 699</w:t>
            </w:r>
          </w:p>
        </w:tc>
      </w:tr>
      <w:tr w:rsidR="00925E83" w:rsidRPr="00925E83" w:rsidTr="00E805A7">
        <w:trPr>
          <w:trHeight w:hRule="exact" w:val="335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Омская область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15418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19 469</w:t>
            </w:r>
          </w:p>
        </w:tc>
      </w:tr>
      <w:tr w:rsidR="00925E83" w:rsidRPr="00925E83" w:rsidTr="00E805A7">
        <w:trPr>
          <w:trHeight w:hRule="exact" w:val="335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Томская область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  <w:hideMark/>
          </w:tcPr>
          <w:p w:rsidR="00925E83" w:rsidRPr="00925E83" w:rsidRDefault="00925E83" w:rsidP="00925E83">
            <w:pPr>
              <w:pStyle w:val="a3"/>
            </w:pPr>
            <w:r w:rsidRPr="00925E83">
              <w:t>10 744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14 129</w:t>
            </w:r>
          </w:p>
        </w:tc>
      </w:tr>
      <w:tr w:rsidR="00925E83" w:rsidRPr="00925E83" w:rsidTr="00E805A7">
        <w:trPr>
          <w:trHeight w:hRule="exact" w:val="335"/>
        </w:trPr>
        <w:tc>
          <w:tcPr>
            <w:tcW w:w="742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088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Забайкальский край</w:t>
            </w: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128CD0"/>
              <w:left w:val="single" w:sz="4" w:space="0" w:color="128CD0"/>
              <w:bottom w:val="single" w:sz="4" w:space="0" w:color="128CD0"/>
              <w:right w:val="single" w:sz="4" w:space="0" w:color="128CD0"/>
            </w:tcBorders>
            <w:shd w:val="clear" w:color="auto" w:fill="FFFFFF"/>
          </w:tcPr>
          <w:p w:rsidR="00925E83" w:rsidRPr="00925E83" w:rsidRDefault="00925E83" w:rsidP="00925E83">
            <w:pPr>
              <w:pStyle w:val="a3"/>
            </w:pPr>
            <w:r w:rsidRPr="00925E83">
              <w:t>9 782</w:t>
            </w:r>
          </w:p>
        </w:tc>
      </w:tr>
    </w:tbl>
    <w:p w:rsidR="00925E83" w:rsidRPr="00925E83" w:rsidRDefault="00925E83" w:rsidP="00925E83">
      <w:pPr>
        <w:pStyle w:val="a3"/>
      </w:pPr>
      <w:r w:rsidRPr="00925E83">
        <w:t> </w:t>
      </w:r>
    </w:p>
    <w:p w:rsidR="00943505" w:rsidRDefault="00F64F8A" w:rsidP="008226D6">
      <w:pPr>
        <w:spacing w:after="0" w:line="240" w:lineRule="auto"/>
        <w:jc w:val="both"/>
      </w:pPr>
      <w:r w:rsidRPr="00F64F8A">
        <w:t xml:space="preserve"> </w:t>
      </w:r>
      <w:r>
        <w:t>Конкурсный отбор субъектов Российской Федерации  для предоставления субсидий из федерального бюджета в 2013 году предполагал следующие условия участия в конкурсе:</w:t>
      </w:r>
    </w:p>
    <w:p w:rsidR="00F64F8A" w:rsidRDefault="00F64F8A" w:rsidP="008226D6">
      <w:pPr>
        <w:spacing w:after="0" w:line="240" w:lineRule="auto"/>
        <w:jc w:val="both"/>
      </w:pPr>
      <w:r>
        <w:t>- наличие региональной программы поддержки СО НКО</w:t>
      </w:r>
    </w:p>
    <w:p w:rsidR="00F64F8A" w:rsidRDefault="00F64F8A" w:rsidP="008226D6">
      <w:pPr>
        <w:spacing w:after="0" w:line="240" w:lineRule="auto"/>
        <w:jc w:val="both"/>
      </w:pPr>
      <w:r>
        <w:t>- наличие в бюджете субъекта  РФ бюджетных ассигнований на реализацию программы</w:t>
      </w:r>
    </w:p>
    <w:p w:rsidR="00F64F8A" w:rsidRDefault="00F64F8A" w:rsidP="008226D6">
      <w:pPr>
        <w:spacing w:after="0" w:line="240" w:lineRule="auto"/>
        <w:jc w:val="both"/>
      </w:pPr>
      <w:r>
        <w:t>-определение уполномоченного органа исполнительной власти субъекта РФ</w:t>
      </w:r>
    </w:p>
    <w:p w:rsidR="00F64F8A" w:rsidRDefault="00F64F8A" w:rsidP="008226D6">
      <w:pPr>
        <w:spacing w:after="0" w:line="240" w:lineRule="auto"/>
        <w:jc w:val="both"/>
      </w:pPr>
      <w:r>
        <w:t>-наличие порядка предоставления субсидий социально ориентированным НКО</w:t>
      </w:r>
    </w:p>
    <w:p w:rsidR="008226D6" w:rsidRDefault="008226D6" w:rsidP="008226D6">
      <w:pPr>
        <w:spacing w:after="0" w:line="240" w:lineRule="auto"/>
        <w:jc w:val="both"/>
      </w:pPr>
    </w:p>
    <w:p w:rsidR="00F64F8A" w:rsidRDefault="00F64F8A" w:rsidP="008226D6">
      <w:pPr>
        <w:spacing w:after="0" w:line="240" w:lineRule="auto"/>
        <w:jc w:val="both"/>
      </w:pPr>
      <w:r>
        <w:t>Заявка субъекта РФ для участия в конкурсе включала в себя:</w:t>
      </w:r>
    </w:p>
    <w:p w:rsidR="00F64F8A" w:rsidRDefault="00F64F8A" w:rsidP="008226D6">
      <w:pPr>
        <w:spacing w:after="0" w:line="240" w:lineRule="auto"/>
        <w:jc w:val="both"/>
      </w:pPr>
      <w:r>
        <w:t>1.</w:t>
      </w:r>
      <w:r w:rsidR="008226D6">
        <w:t xml:space="preserve"> Заявление (</w:t>
      </w:r>
      <w:r>
        <w:t xml:space="preserve">по форме МЭР РФ, которая включала в себя целевые показатели по количеству НКО, привлекаемым </w:t>
      </w:r>
      <w:r w:rsidR="008226D6">
        <w:t>д</w:t>
      </w:r>
      <w:r>
        <w:t>обровольцам, благотворительным пожертвованиям, количеству средств</w:t>
      </w:r>
      <w:r w:rsidR="008226D6">
        <w:t>,</w:t>
      </w:r>
      <w:r>
        <w:t xml:space="preserve"> выделяемых на программу относительно общего бюджета региона)</w:t>
      </w:r>
      <w:r w:rsidR="008226D6">
        <w:t>.</w:t>
      </w:r>
    </w:p>
    <w:p w:rsidR="00F64F8A" w:rsidRDefault="00F64F8A" w:rsidP="008226D6">
      <w:pPr>
        <w:spacing w:after="0" w:line="240" w:lineRule="auto"/>
        <w:jc w:val="both"/>
      </w:pPr>
      <w:r>
        <w:t>2. Региональная программа поддержки социально ориентированных НКО</w:t>
      </w:r>
      <w:r w:rsidR="008226D6">
        <w:t>.</w:t>
      </w:r>
    </w:p>
    <w:p w:rsidR="00F64F8A" w:rsidRDefault="00F64F8A" w:rsidP="008226D6">
      <w:pPr>
        <w:spacing w:after="0" w:line="240" w:lineRule="auto"/>
        <w:jc w:val="both"/>
      </w:pPr>
      <w:r>
        <w:t xml:space="preserve">3. </w:t>
      </w:r>
      <w:r w:rsidR="002C6816">
        <w:t>П</w:t>
      </w:r>
      <w:r w:rsidR="002C6816" w:rsidRPr="002C6816">
        <w:t>оряд</w:t>
      </w:r>
      <w:r w:rsidR="002C6816">
        <w:t xml:space="preserve">ок </w:t>
      </w:r>
      <w:r w:rsidR="002C6816" w:rsidRPr="002C6816">
        <w:t>предоставления</w:t>
      </w:r>
      <w:r w:rsidR="008226D6" w:rsidRPr="008226D6">
        <w:t xml:space="preserve"> </w:t>
      </w:r>
      <w:r w:rsidR="008226D6">
        <w:t>субъектом РФ</w:t>
      </w:r>
      <w:r w:rsidR="002C6816" w:rsidRPr="002C6816">
        <w:t xml:space="preserve"> субсидий социально ориентированным НКО</w:t>
      </w:r>
      <w:r w:rsidR="008226D6">
        <w:t>.</w:t>
      </w:r>
    </w:p>
    <w:p w:rsidR="002C6816" w:rsidRDefault="002C6816" w:rsidP="008226D6">
      <w:pPr>
        <w:spacing w:after="0" w:line="240" w:lineRule="auto"/>
        <w:jc w:val="both"/>
      </w:pPr>
      <w:r>
        <w:t>4.</w:t>
      </w:r>
      <w:r w:rsidR="008226D6">
        <w:t xml:space="preserve"> </w:t>
      </w:r>
      <w:r>
        <w:t>Выписка из закона о бюджете субъекта РФ</w:t>
      </w:r>
      <w:r w:rsidR="008226D6">
        <w:t>.</w:t>
      </w:r>
    </w:p>
    <w:p w:rsidR="002C6816" w:rsidRDefault="002C6816" w:rsidP="008226D6">
      <w:pPr>
        <w:spacing w:after="0" w:line="240" w:lineRule="auto"/>
        <w:jc w:val="both"/>
      </w:pPr>
      <w:r>
        <w:t>5. Информация (в том числе копии нормативных правовых актов)</w:t>
      </w:r>
      <w:r w:rsidR="008226D6">
        <w:t xml:space="preserve"> </w:t>
      </w:r>
      <w:r>
        <w:t>по «качественному» критерию конкурсного отбора субъектов Российской Федерации</w:t>
      </w:r>
    </w:p>
    <w:p w:rsidR="008226D6" w:rsidRDefault="008226D6" w:rsidP="008226D6">
      <w:pPr>
        <w:spacing w:after="0" w:line="240" w:lineRule="auto"/>
        <w:jc w:val="both"/>
      </w:pPr>
    </w:p>
    <w:p w:rsidR="002C6816" w:rsidRDefault="002C6816" w:rsidP="008226D6">
      <w:pPr>
        <w:spacing w:after="0" w:line="240" w:lineRule="auto"/>
        <w:jc w:val="both"/>
      </w:pPr>
      <w:r>
        <w:t>Это был достаточно важный пункт, который должен был продемонстрировать</w:t>
      </w:r>
      <w:r w:rsidR="007966EB">
        <w:t>,</w:t>
      </w:r>
      <w:r>
        <w:t xml:space="preserve"> как регион развивает весь набор качественных критериев. Не все регионы СФО справились с данной задачей.</w:t>
      </w:r>
    </w:p>
    <w:p w:rsidR="008226D6" w:rsidRDefault="008226D6" w:rsidP="008226D6">
      <w:pPr>
        <w:spacing w:after="0" w:line="240" w:lineRule="auto"/>
        <w:jc w:val="both"/>
      </w:pPr>
    </w:p>
    <w:p w:rsidR="002C6816" w:rsidRDefault="002C6816" w:rsidP="008226D6">
      <w:pPr>
        <w:spacing w:after="0" w:line="240" w:lineRule="auto"/>
        <w:jc w:val="both"/>
      </w:pPr>
      <w:r>
        <w:t>Об этом мы еще скажем ниже.</w:t>
      </w:r>
    </w:p>
    <w:p w:rsidR="00142304" w:rsidRDefault="00142304" w:rsidP="002C6816">
      <w:pPr>
        <w:spacing w:after="0" w:line="240" w:lineRule="auto"/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3095"/>
      </w:tblGrid>
      <w:tr w:rsidR="002B7F5C" w:rsidRPr="002B7F5C" w:rsidTr="00E805A7">
        <w:trPr>
          <w:cantSplit/>
          <w:tblHeader/>
        </w:trPr>
        <w:tc>
          <w:tcPr>
            <w:tcW w:w="675" w:type="dxa"/>
            <w:vAlign w:val="center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№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п/п</w:t>
            </w:r>
          </w:p>
        </w:tc>
        <w:tc>
          <w:tcPr>
            <w:tcW w:w="4536" w:type="dxa"/>
            <w:vAlign w:val="center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Критерии</w:t>
            </w:r>
          </w:p>
        </w:tc>
        <w:tc>
          <w:tcPr>
            <w:tcW w:w="1418" w:type="dxa"/>
            <w:vAlign w:val="center"/>
          </w:tcPr>
          <w:p w:rsidR="002B7F5C" w:rsidRPr="002B7F5C" w:rsidRDefault="002B7F5C" w:rsidP="002B7F5C">
            <w:pPr>
              <w:spacing w:after="0" w:line="240" w:lineRule="auto"/>
            </w:pPr>
            <w:proofErr w:type="spellStart"/>
            <w:r w:rsidRPr="002B7F5C">
              <w:t>Коэффи</w:t>
            </w:r>
            <w:proofErr w:type="spellEnd"/>
            <w:r w:rsidRPr="002B7F5C">
              <w:t>-</w:t>
            </w:r>
          </w:p>
          <w:p w:rsidR="002B7F5C" w:rsidRPr="002B7F5C" w:rsidRDefault="002B7F5C" w:rsidP="008226D6">
            <w:pPr>
              <w:spacing w:after="0" w:line="240" w:lineRule="auto"/>
            </w:pPr>
            <w:proofErr w:type="spellStart"/>
            <w:r w:rsidRPr="002B7F5C">
              <w:t>циент</w:t>
            </w:r>
            <w:proofErr w:type="spellEnd"/>
            <w:r w:rsidRPr="002B7F5C">
              <w:t xml:space="preserve"> значимости</w:t>
            </w:r>
          </w:p>
        </w:tc>
        <w:tc>
          <w:tcPr>
            <w:tcW w:w="3095" w:type="dxa"/>
            <w:vAlign w:val="center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Оценка</w:t>
            </w: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1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субъекта Российской Федерации в отчетном году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0,03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Свыше 0,1%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От 0,001 до 0,1% – по 1 баллу за каждые 0,001%.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Менее 0,001% – 0 баллов</w:t>
            </w: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lastRenderedPageBreak/>
              <w:t>2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Прирост количества некоммерческих организаций, обслуживающих домашние хозяйства, на территории субъекта Российской Федерации за предыдущий отчетный период, за исключением государственных (муниципальных) учреждений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От 50 до 100%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От 1 до 50% – по 2 балла за каждый процент прироста.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Менее 1%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или отрицательный –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0 баллов</w:t>
            </w: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3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Прирост средней численности работников (без внешних совместителей) некоммерческих организаций, обслуживающих домашние хозяйства, за предыдущий отчетный период, за исключением государственных (муниципальных) учреждений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От 50 до 100%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От 1 до 50% – по 2 балла за каждый процент прироста.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Менее 1%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 xml:space="preserve">или отрицательный – 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0 баллов</w:t>
            </w: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4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Прирост объема услуг (выполненных работ), оказанных на территории субъекта Российской Федерации некоммерческими организациями, обслуживающими домашние хозяйства, за исключением государственных (муниципальных) учреждений, в общем объеме валового регионального продукта за предыдущий отчетный период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0,01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От 50 до 100%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От 1 до 50% – по 2 балла за каждый процент прироста.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Менее 1%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или отрицательный –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0 баллов</w:t>
            </w:r>
          </w:p>
        </w:tc>
      </w:tr>
      <w:tr w:rsidR="002B7F5C" w:rsidRPr="002B7F5C" w:rsidTr="00E805A7">
        <w:trPr>
          <w:cantSplit/>
          <w:trHeight w:val="1866"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5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Прирост средней численности добровольцев, привлекаемых некоммерческими организациями, обслуживающими домашние хозяйства, за предыдущий отчетный период, за исключением государственных (муниципальных) учреждений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От 50 до 100%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От 1 до 50% – по 2 балла за каждый процент прироста.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Менее 1% или отрицательный – 0 баллов</w:t>
            </w:r>
          </w:p>
        </w:tc>
      </w:tr>
      <w:tr w:rsidR="002B7F5C" w:rsidRPr="002B7F5C" w:rsidTr="00E805A7">
        <w:trPr>
          <w:cantSplit/>
          <w:trHeight w:val="1227"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6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2 и более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1 – 80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Нет – 0 баллов</w:t>
            </w:r>
          </w:p>
        </w:tc>
      </w:tr>
      <w:tr w:rsidR="002B7F5C" w:rsidRPr="002B7F5C" w:rsidTr="00E805A7">
        <w:trPr>
          <w:cantSplit/>
          <w:trHeight w:val="2134"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7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Объем доходов от управления целевым капиталом некоммерческих организаций, специализированных некоммерческих организаций управления целевым капиталом на территории субъекта Российской Федерации, направленных на осуществление их уставной деятельности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0,01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Свыше 100 миллионов рублей – 100 баллов.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От 1 до 100 миллионов рублей – по 1 баллу за каждый миллион рублей.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Менее 1 миллиона рублей – 0 баллов</w:t>
            </w:r>
          </w:p>
        </w:tc>
      </w:tr>
      <w:tr w:rsidR="002B7F5C" w:rsidRPr="002B7F5C" w:rsidTr="00E805A7">
        <w:trPr>
          <w:cantSplit/>
          <w:trHeight w:val="1823"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lastRenderedPageBreak/>
              <w:t>8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Принятие и реализация субъектом Российской Федерации нормативных правовых актов либо плана по их разработке и принятию в течение отчетного периода, предусматривающих: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  <w:p w:rsidR="002B7F5C" w:rsidRPr="002B7F5C" w:rsidRDefault="002B7F5C" w:rsidP="002B7F5C">
            <w:pPr>
              <w:spacing w:after="0" w:line="240" w:lineRule="auto"/>
            </w:pPr>
          </w:p>
        </w:tc>
      </w:tr>
      <w:tr w:rsidR="002B7F5C" w:rsidRPr="002B7F5C" w:rsidTr="00E805A7">
        <w:trPr>
          <w:cantSplit/>
          <w:trHeight w:val="1823"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8.1</w:t>
            </w:r>
          </w:p>
        </w:tc>
        <w:tc>
          <w:tcPr>
            <w:tcW w:w="4536" w:type="dxa"/>
          </w:tcPr>
          <w:p w:rsidR="002B7F5C" w:rsidRPr="002B7F5C" w:rsidRDefault="002B7F5C" w:rsidP="008226D6">
            <w:pPr>
              <w:spacing w:after="0" w:line="240" w:lineRule="auto"/>
            </w:pPr>
            <w:r w:rsidRPr="002B7F5C">
              <w:t>реализаци</w:t>
            </w:r>
            <w:r w:rsidR="008226D6">
              <w:t>я</w:t>
            </w:r>
            <w:r w:rsidRPr="002B7F5C">
              <w:t xml:space="preserve"> механизма распределения бюджетного финансирования оказания социальных услуг на конкурсной основе путем предоставления бюджетных субсидий либо реализаци</w:t>
            </w:r>
            <w:r w:rsidR="008226D6">
              <w:t>я</w:t>
            </w:r>
            <w:r w:rsidRPr="002B7F5C">
              <w:t xml:space="preserve"> механизма закупок работ (услуг) для государственных и муниципальных нужд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0,4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Число баллов определяется конкурсной комиссией по результатам оценки программы поддержки социально ориентированных некоммерческих организаций, порядка предоставления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на конкурсной основе субсидий из бюджета субъекта Российской Федерации социально ориентированным некоммерческим организациям, иных документов заявки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на участие в конкурсе, информации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 предоставлении субсидий из бюджета субъекта Российской Федерации социально ориентированным некоммерческим организациям – от 0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до 100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8.2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Число баллов определяется конкурсной комиссией по результатам оценки документов заявки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на участие в конкурсе, информации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 реализации нормативных правовых актов – от 0 до 100</w:t>
            </w: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lastRenderedPageBreak/>
              <w:t>8.3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предоставление социально ориентированным некоммерческим организациям имущественной поддержки в виде предоставления недвижимого имущества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в аренду на льготных условиях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или в безвозмездное пользование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0,1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Число баллов определяется конкурсной комиссией по результатам оценки документов заявки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на участие в конкурсе, информации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об оказании имущественной поддержки социально ориентированным некоммерческим организациям – от 0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до 100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8.4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0,1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Число баллов определяется конкурсной комиссией по результатам оценки документов заявки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на участие в конкурсе, информации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об оказании информационной поддержки социально ориентированным некоммерческим организациям – от 0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до 100</w:t>
            </w:r>
          </w:p>
          <w:p w:rsidR="002B7F5C" w:rsidRPr="002B7F5C" w:rsidRDefault="002B7F5C" w:rsidP="002B7F5C">
            <w:pPr>
              <w:spacing w:after="0" w:line="240" w:lineRule="auto"/>
            </w:pP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8.5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формирование попечительских (общественных, наблюдательных) советов государственных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Число баллов определяется конкурсной комиссией по результатам оценки документов заявки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на участие в конкурсе, информации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 формировании соответствующих советов – от 0 до 100</w:t>
            </w:r>
          </w:p>
        </w:tc>
      </w:tr>
      <w:tr w:rsidR="002B7F5C" w:rsidRPr="002B7F5C" w:rsidTr="00E805A7">
        <w:trPr>
          <w:cantSplit/>
        </w:trPr>
        <w:tc>
          <w:tcPr>
            <w:tcW w:w="67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8.6</w:t>
            </w:r>
          </w:p>
        </w:tc>
        <w:tc>
          <w:tcPr>
            <w:tcW w:w="4536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проведение общественной экспертизы проектов законов субъектов Российской Федерации, а также проектов нормативных правовых актов органов исполнительной власти субъектов Российской Федерации и органов местного самоуправления в части деятельности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0,05</w:t>
            </w:r>
          </w:p>
        </w:tc>
        <w:tc>
          <w:tcPr>
            <w:tcW w:w="3095" w:type="dxa"/>
          </w:tcPr>
          <w:p w:rsidR="002B7F5C" w:rsidRPr="002B7F5C" w:rsidRDefault="002B7F5C" w:rsidP="002B7F5C">
            <w:pPr>
              <w:spacing w:after="0" w:line="240" w:lineRule="auto"/>
            </w:pPr>
            <w:r w:rsidRPr="002B7F5C">
              <w:t>Число баллов определяется конкурсной комиссией по результатам оценки документов заявки на участие в конкурсе, информации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о проведении соответствующей экспертизы – от 0</w:t>
            </w:r>
          </w:p>
          <w:p w:rsidR="002B7F5C" w:rsidRPr="002B7F5C" w:rsidRDefault="002B7F5C" w:rsidP="002B7F5C">
            <w:pPr>
              <w:spacing w:after="0" w:line="240" w:lineRule="auto"/>
            </w:pPr>
            <w:r w:rsidRPr="002B7F5C">
              <w:t>до 100</w:t>
            </w:r>
          </w:p>
        </w:tc>
      </w:tr>
    </w:tbl>
    <w:p w:rsidR="002B7F5C" w:rsidRDefault="002B7F5C" w:rsidP="002B7F5C">
      <w:pPr>
        <w:spacing w:after="0" w:line="240" w:lineRule="auto"/>
      </w:pPr>
    </w:p>
    <w:p w:rsidR="00F7784E" w:rsidRDefault="00ED2492" w:rsidP="008226D6">
      <w:pPr>
        <w:spacing w:after="0" w:line="240" w:lineRule="auto"/>
        <w:jc w:val="both"/>
      </w:pPr>
      <w:r>
        <w:t xml:space="preserve">Первые 7 критериев определялись МЭР РФ на основании выборочных статистических данных, которые предоставлялись органами статистики РФ. </w:t>
      </w:r>
      <w:r w:rsidR="00796B0B">
        <w:t>Таким образом, регионы могли повлиять на эти показатели только своей реальной работой</w:t>
      </w:r>
      <w:r w:rsidR="008226D6">
        <w:t>,</w:t>
      </w:r>
      <w:r w:rsidR="00796B0B">
        <w:t xml:space="preserve"> направленной на увеличение этих показателей в  2012 году и в предыдущий период. Экспертный анализ текущей ситуации</w:t>
      </w:r>
      <w:r w:rsidR="00804C76">
        <w:t xml:space="preserve"> по увеличению количества НКО, увеличени</w:t>
      </w:r>
      <w:r w:rsidR="008226D6">
        <w:t>ю</w:t>
      </w:r>
      <w:r w:rsidR="00804C76">
        <w:t xml:space="preserve"> количества добровольцев и благотворительных пожертвований </w:t>
      </w:r>
      <w:r w:rsidR="00796B0B">
        <w:t xml:space="preserve"> показывает, что </w:t>
      </w:r>
      <w:r w:rsidR="00804C76">
        <w:t xml:space="preserve">регионы не всегда использовали свои возможности для увеличения этих </w:t>
      </w:r>
      <w:r w:rsidR="00804C76">
        <w:lastRenderedPageBreak/>
        <w:t xml:space="preserve">показателей. Этими возможностями являются финансовая  поддержка проектов на региональном уровне (региональные субсидии). В СФО Новосибирская область, Красноярский край, Алтайский край, Томская область использовали возможность развития ресурсных центров в своих регионах, которые были призваны работать на увеличение этих показателей (регистрация новых НКО, развитие новых социальных технологий, методическая поддержка и стимулирование </w:t>
      </w:r>
      <w:r w:rsidR="00C45A31">
        <w:t>поддержки СО НКО на муниципальном уровне). Пока этого недостаточно и необходимо усилить возможность увеличения этих показателей не только за счет региональных центров</w:t>
      </w:r>
      <w:r w:rsidR="008226D6">
        <w:t xml:space="preserve"> </w:t>
      </w:r>
      <w:r w:rsidR="00C45A31">
        <w:t xml:space="preserve">(крупных городов), но и переводя эти усилия на муниципальный уровень </w:t>
      </w:r>
      <w:r w:rsidR="008226D6">
        <w:t>(</w:t>
      </w:r>
      <w:r w:rsidR="00C45A31">
        <w:t>в районные центры регионов</w:t>
      </w:r>
      <w:r w:rsidR="008226D6">
        <w:t>)</w:t>
      </w:r>
      <w:r w:rsidR="00C45A31">
        <w:t>.</w:t>
      </w:r>
    </w:p>
    <w:p w:rsidR="00F7784E" w:rsidRDefault="00F7784E" w:rsidP="008226D6">
      <w:pPr>
        <w:spacing w:after="0" w:line="240" w:lineRule="auto"/>
        <w:jc w:val="both"/>
      </w:pPr>
    </w:p>
    <w:p w:rsidR="00115285" w:rsidRDefault="00F7784E" w:rsidP="008226D6">
      <w:pPr>
        <w:spacing w:after="0" w:line="240" w:lineRule="auto"/>
        <w:jc w:val="both"/>
      </w:pPr>
      <w:r>
        <w:t xml:space="preserve">Качественные показатели (п.8.1-8.6) определялись конкурсной комиссией на основе представленных регионами нормативно-правовых актов в рамках заявки субъектов  по участию в Конкурсе регионов по предоставлению субсидий. </w:t>
      </w:r>
      <w:r w:rsidR="00C17D26">
        <w:t>Оценка конкурсной комиссии влияла на составление рейтинга регионов, а это</w:t>
      </w:r>
      <w:r w:rsidR="0083740D">
        <w:t>,</w:t>
      </w:r>
      <w:r w:rsidR="00C17D26">
        <w:t xml:space="preserve"> </w:t>
      </w:r>
      <w:r w:rsidR="00115285">
        <w:t>в свою очередь</w:t>
      </w:r>
      <w:r w:rsidR="0083740D">
        <w:t>,</w:t>
      </w:r>
      <w:r w:rsidR="00115285">
        <w:t xml:space="preserve"> оказало существенное влияние </w:t>
      </w:r>
      <w:r w:rsidR="00C17D26">
        <w:t>на количество средств</w:t>
      </w:r>
      <w:r w:rsidR="0083740D">
        <w:t>,</w:t>
      </w:r>
      <w:r w:rsidR="00C17D26">
        <w:t xml:space="preserve"> выделяемых региону. Е. П. Малицкая (руководитель МОФ «Сибирский центр поддержки общественных инициатив») является экспертом конкурсной комиссии Конкурса субъектов РФ</w:t>
      </w:r>
      <w:r w:rsidR="0083740D">
        <w:t>.</w:t>
      </w:r>
      <w:r w:rsidR="00C17D26">
        <w:t xml:space="preserve"> </w:t>
      </w:r>
      <w:r w:rsidR="0083740D">
        <w:t>У</w:t>
      </w:r>
      <w:r w:rsidR="00C17D26">
        <w:t>частие в работе комиссии позволяет проанализировать как качество поданных заявок</w:t>
      </w:r>
      <w:r w:rsidR="0083740D">
        <w:t xml:space="preserve"> </w:t>
      </w:r>
      <w:r w:rsidR="00C17D26">
        <w:t>(нормативно-правовых актов), так и  субъективный уровень оценки</w:t>
      </w:r>
      <w:r w:rsidR="00115285">
        <w:t xml:space="preserve"> экспертами субъектов</w:t>
      </w:r>
      <w:r w:rsidR="00C17D26">
        <w:t xml:space="preserve"> в области развития и поддержки социально ориентированных НКО.</w:t>
      </w:r>
    </w:p>
    <w:p w:rsidR="0083740D" w:rsidRDefault="0083740D" w:rsidP="008226D6">
      <w:pPr>
        <w:spacing w:after="0" w:line="240" w:lineRule="auto"/>
        <w:jc w:val="both"/>
      </w:pPr>
    </w:p>
    <w:p w:rsidR="00115285" w:rsidRDefault="00115285" w:rsidP="008226D6">
      <w:pPr>
        <w:spacing w:after="0" w:line="240" w:lineRule="auto"/>
        <w:jc w:val="both"/>
      </w:pPr>
      <w:r>
        <w:t>8.1 Р</w:t>
      </w:r>
      <w:r w:rsidRPr="00115285">
        <w:t>еализаци</w:t>
      </w:r>
      <w:r>
        <w:t>я</w:t>
      </w:r>
      <w:r w:rsidRPr="00115285">
        <w:t xml:space="preserve"> механизма распределения бюджетного финансирования оказания социальных услуг на конкурсной основе путем предоставления бюджетных субсидий либо реализаци</w:t>
      </w:r>
      <w:r w:rsidR="0083740D">
        <w:t>я</w:t>
      </w:r>
      <w:r w:rsidRPr="00115285">
        <w:t xml:space="preserve"> механизма закупок работ (услуг) для государственных и муниципальных нужд</w:t>
      </w:r>
      <w:r w:rsidR="0083740D">
        <w:t>.</w:t>
      </w:r>
    </w:p>
    <w:p w:rsidR="0083740D" w:rsidRDefault="00115285" w:rsidP="00822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Здесь существенное влияние на оценки экспертов оказывало качество нормативно-правовых актов субъектов по конкурсному распределению субсидий, количество выделяемых средств на конкурс, использование механизма закупок работ и услуг</w:t>
      </w:r>
      <w:r w:rsidR="0083740D">
        <w:t>,</w:t>
      </w:r>
      <w:r>
        <w:t xml:space="preserve"> осуществляемых НКО, в </w:t>
      </w:r>
      <w:proofErr w:type="spellStart"/>
      <w:r>
        <w:t>т.ч</w:t>
      </w:r>
      <w:proofErr w:type="spellEnd"/>
      <w:r>
        <w:t>. на муниципальном уровне. Например, Новосибирская область, которая заняла первое место в рейтинге регионов РФ</w:t>
      </w:r>
      <w:r w:rsidR="0083740D">
        <w:t>,</w:t>
      </w:r>
      <w:r>
        <w:t xml:space="preserve"> и Красноярский край, занявший второе место в этом рейтинге, отмечались как лучшие по параметрам: открытость конкурсных процедур, выделение на программу и конкурс субсидий достаточно большого объема средств</w:t>
      </w:r>
      <w:r w:rsidR="007554F4">
        <w:t xml:space="preserve">, огромный опыт проведения конкурсов для НКО, существование поддержки как </w:t>
      </w:r>
      <w:proofErr w:type="spellStart"/>
      <w:r w:rsidR="007554F4">
        <w:t>стартапов</w:t>
      </w:r>
      <w:proofErr w:type="spellEnd"/>
      <w:r w:rsidR="007554F4">
        <w:t xml:space="preserve"> (в рамках реализации региональных законов о грантах), так и выделение финансирования на субсидии, использование механизма закупок услуг на государственные и муниципальные нуж</w:t>
      </w:r>
      <w:r w:rsidR="0083740D">
        <w:t>д</w:t>
      </w:r>
      <w:r w:rsidR="007554F4">
        <w:t>ы (Новосибирская область и г.</w:t>
      </w:r>
      <w:r w:rsidR="0083740D">
        <w:t xml:space="preserve"> </w:t>
      </w:r>
      <w:r w:rsidR="007554F4">
        <w:t>Новосибирск особо отмечались как активно использующие данный механизм</w:t>
      </w:r>
      <w:r w:rsidR="0083740D">
        <w:t>,</w:t>
      </w:r>
      <w:r w:rsidR="007554F4">
        <w:t xml:space="preserve"> в </w:t>
      </w:r>
      <w:proofErr w:type="spellStart"/>
      <w:r w:rsidR="007554F4">
        <w:t>т.ч</w:t>
      </w:r>
      <w:proofErr w:type="spellEnd"/>
      <w:r w:rsidR="007554F4">
        <w:t>. министерством социального развития Новосибирской области и мэрией г.</w:t>
      </w:r>
      <w:r w:rsidR="0083740D">
        <w:t xml:space="preserve"> </w:t>
      </w:r>
      <w:r w:rsidR="007554F4">
        <w:t>Новосибирска в рамках реализации целевых программ по «</w:t>
      </w:r>
      <w:r w:rsidR="0083740D">
        <w:t>с</w:t>
      </w:r>
      <w:r w:rsidR="007554F4">
        <w:t>емье и детям», поддержк</w:t>
      </w:r>
      <w:r w:rsidR="0083740D">
        <w:t>е</w:t>
      </w:r>
      <w:r w:rsidR="007554F4">
        <w:t xml:space="preserve"> инвалидов и т.д.</w:t>
      </w:r>
      <w:r w:rsidR="0083740D">
        <w:t>).</w:t>
      </w:r>
      <w:r w:rsidR="002E224D" w:rsidRPr="002E22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40D" w:rsidRDefault="0083740D" w:rsidP="00822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4F4" w:rsidRDefault="002E224D" w:rsidP="008226D6">
      <w:pPr>
        <w:spacing w:after="0" w:line="240" w:lineRule="auto"/>
        <w:jc w:val="both"/>
      </w:pPr>
      <w:r w:rsidRPr="002E224D">
        <w:t xml:space="preserve">Стоить отметить, что Новосибирская область по </w:t>
      </w:r>
      <w:r>
        <w:t xml:space="preserve">сравнению с другими </w:t>
      </w:r>
      <w:r w:rsidRPr="002E224D">
        <w:t xml:space="preserve"> регионами выгодно отличается уровнем законодательства в сфере социальной политики. Так, в этом регионе действует Закон от 12 марта 1999 года N 45-ОЗ «О социальной защите инвалидов в Новосибирской области». Согласно данному документу </w:t>
      </w:r>
      <w:r w:rsidRPr="002E224D">
        <w:rPr>
          <w:b/>
        </w:rPr>
        <w:t>общественные объединения инвалидов и созданные ими организации имеют преимущественное право на выполнение государственного социального заказа (выполнение работ, оказание услуг и др.),</w:t>
      </w:r>
      <w:r w:rsidRPr="002E224D">
        <w:t xml:space="preserve"> в том числе целевых программ в сфере социальной защиты инвалидов, на конкурсной основе при прочих равных условиях в соответствии с</w:t>
      </w:r>
      <w:r>
        <w:t xml:space="preserve"> действующим законодательством</w:t>
      </w:r>
      <w:r w:rsidR="007554F4">
        <w:t>. Причем эксперты отмечали реальную практику выделения такого финансирования, которую они знают не только по представленным нормативно-правовым актам.</w:t>
      </w:r>
      <w:r>
        <w:t xml:space="preserve"> </w:t>
      </w:r>
      <w:r w:rsidR="007554F4">
        <w:t xml:space="preserve"> Особенно это отмечали представители Фонда</w:t>
      </w:r>
      <w:r w:rsidR="0083740D">
        <w:t xml:space="preserve"> </w:t>
      </w:r>
      <w:r w:rsidR="007554F4">
        <w:t>поддержки детей</w:t>
      </w:r>
      <w:r w:rsidR="0083740D">
        <w:t>,</w:t>
      </w:r>
      <w:r w:rsidR="007554F4">
        <w:t xml:space="preserve"> находящихся в трудной жизненной ситуации. Также отмечался и опыт Алтайского и Красноярского краев по выделению субсидий на долговременной основе (до 3-х лет).</w:t>
      </w:r>
      <w:r>
        <w:t xml:space="preserve"> Конечно же</w:t>
      </w:r>
      <w:r w:rsidR="0083740D">
        <w:t>,</w:t>
      </w:r>
      <w:r>
        <w:t xml:space="preserve"> выгодно отличаются те регионы, которые давно реализуют практику поддержки НКО на конкурсной основе</w:t>
      </w:r>
      <w:r w:rsidR="0083740D">
        <w:t>,</w:t>
      </w:r>
      <w:r>
        <w:t xml:space="preserve"> и особенно те регионы, которые осуществляют проведение конкурсов общей поддержки сектора СО НКО централизовано, а не отдельными министерствами и ведомствами.</w:t>
      </w:r>
    </w:p>
    <w:p w:rsidR="0083740D" w:rsidRDefault="0083740D" w:rsidP="008226D6">
      <w:pPr>
        <w:spacing w:after="0" w:line="240" w:lineRule="auto"/>
        <w:jc w:val="both"/>
      </w:pPr>
    </w:p>
    <w:p w:rsidR="00396781" w:rsidRDefault="007554F4" w:rsidP="008226D6">
      <w:pPr>
        <w:spacing w:after="0" w:line="240" w:lineRule="auto"/>
        <w:jc w:val="both"/>
      </w:pPr>
      <w:r>
        <w:lastRenderedPageBreak/>
        <w:t>Если говорить об опыте не только регионов СФО, то отмечался опыт Архангельской области (</w:t>
      </w:r>
      <w:r w:rsidR="00396781">
        <w:t>третье место в рейтинге регионов), который реализует сопровождение и проведение конкурса субсидий для СО НКО на принципе аутсорсинга ( т.е. проведение этапов конкурса проводится не профильным министерством региона, а СО НКО). Также отмечался опыт регионов</w:t>
      </w:r>
      <w:r w:rsidR="006406BD">
        <w:t>,</w:t>
      </w:r>
      <w:r w:rsidR="00396781">
        <w:t xml:space="preserve"> которые поощряют муниципальные районы, в </w:t>
      </w:r>
      <w:proofErr w:type="spellStart"/>
      <w:r w:rsidR="00396781">
        <w:t>т.ч</w:t>
      </w:r>
      <w:proofErr w:type="spellEnd"/>
      <w:r w:rsidR="00396781">
        <w:t>. выделяя им средства на условиях со-финансирования, если они реализуют конкурсную поддержку СО НКО на своем районном уровне.</w:t>
      </w:r>
    </w:p>
    <w:p w:rsidR="0083740D" w:rsidRDefault="0083740D" w:rsidP="008226D6">
      <w:pPr>
        <w:spacing w:after="0" w:line="240" w:lineRule="auto"/>
        <w:jc w:val="both"/>
      </w:pPr>
    </w:p>
    <w:p w:rsidR="00396781" w:rsidRDefault="00396781" w:rsidP="008226D6">
      <w:pPr>
        <w:spacing w:after="0" w:line="240" w:lineRule="auto"/>
        <w:jc w:val="both"/>
      </w:pPr>
      <w:r>
        <w:t>8.2.П</w:t>
      </w:r>
      <w:r w:rsidRPr="00396781">
        <w:t>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</w:t>
      </w:r>
      <w:r>
        <w:t>.</w:t>
      </w:r>
    </w:p>
    <w:p w:rsidR="0083740D" w:rsidRDefault="0083740D" w:rsidP="008226D6">
      <w:pPr>
        <w:spacing w:after="0" w:line="240" w:lineRule="auto"/>
        <w:jc w:val="both"/>
      </w:pPr>
    </w:p>
    <w:p w:rsidR="002E224D" w:rsidRDefault="00396781" w:rsidP="008226D6">
      <w:pPr>
        <w:spacing w:after="0" w:line="240" w:lineRule="auto"/>
        <w:jc w:val="both"/>
      </w:pPr>
      <w:r>
        <w:t>При оценке этого показателя эксперты отмечали, что практически все регионы находятся на одинаковом уровне. Реальные льготы для благотворителей существуют в Самарской области. Остальные Законы о благотворительной деятельности регионов зачастую предполагают лишь моральное поощрение такой деятельности бизнеса со стороны государственных органов.</w:t>
      </w:r>
      <w:r w:rsidR="00692F27">
        <w:t xml:space="preserve"> П</w:t>
      </w:r>
      <w:r w:rsidR="006406BD">
        <w:t>онятно, что реальное извлечение части доходов регионального бюджета на основе предоставление льгот для</w:t>
      </w:r>
      <w:r w:rsidR="00692F27">
        <w:t xml:space="preserve"> </w:t>
      </w:r>
      <w:r w:rsidR="006406BD">
        <w:t xml:space="preserve"> бизнес</w:t>
      </w:r>
      <w:r w:rsidR="00692F27">
        <w:t>-</w:t>
      </w:r>
      <w:r w:rsidR="006406BD">
        <w:t>организаций практически невозможно в нынешней ситуации</w:t>
      </w:r>
      <w:r w:rsidR="00692F27">
        <w:t xml:space="preserve"> социально</w:t>
      </w:r>
      <w:r w:rsidR="0083740D">
        <w:t>-</w:t>
      </w:r>
      <w:r w:rsidR="00692F27">
        <w:t>экономического развития.</w:t>
      </w:r>
    </w:p>
    <w:p w:rsidR="0083740D" w:rsidRDefault="0083740D" w:rsidP="008226D6">
      <w:pPr>
        <w:spacing w:after="0" w:line="240" w:lineRule="auto"/>
        <w:jc w:val="both"/>
      </w:pPr>
    </w:p>
    <w:p w:rsidR="002E224D" w:rsidRDefault="002E224D" w:rsidP="008226D6">
      <w:pPr>
        <w:spacing w:after="0" w:line="240" w:lineRule="auto"/>
        <w:jc w:val="both"/>
      </w:pPr>
      <w:r>
        <w:t>8.3.</w:t>
      </w:r>
      <w:r w:rsidR="0083740D">
        <w:t xml:space="preserve"> </w:t>
      </w:r>
      <w:r>
        <w:t>П</w:t>
      </w:r>
      <w:r w:rsidRPr="002E224D">
        <w:t>редоставление социально ориентированным некоммерческим организациям имущественной поддержки в виде предоставления недвижимого имущества</w:t>
      </w:r>
      <w:r>
        <w:t xml:space="preserve"> </w:t>
      </w:r>
      <w:r w:rsidRPr="002E224D">
        <w:t>в аренду на льготных условиях</w:t>
      </w:r>
      <w:r>
        <w:t xml:space="preserve"> </w:t>
      </w:r>
      <w:r w:rsidRPr="002E224D">
        <w:t>или в безвозмездное пользование</w:t>
      </w:r>
    </w:p>
    <w:p w:rsidR="0083740D" w:rsidRDefault="0083740D" w:rsidP="008226D6">
      <w:pPr>
        <w:spacing w:after="0" w:line="240" w:lineRule="auto"/>
        <w:jc w:val="both"/>
      </w:pPr>
    </w:p>
    <w:p w:rsidR="009F2A03" w:rsidRDefault="00B029BB" w:rsidP="008226D6">
      <w:pPr>
        <w:spacing w:after="0" w:line="240" w:lineRule="auto"/>
        <w:jc w:val="both"/>
      </w:pPr>
      <w:r>
        <w:t xml:space="preserve">При оценке этого показателя, эксперты понимали, что реальная практика предоставления льгот по аренде или выделение помещений чаще осуществляется на муниципальном уровне, </w:t>
      </w:r>
      <w:proofErr w:type="spellStart"/>
      <w:r>
        <w:t>т.к</w:t>
      </w:r>
      <w:proofErr w:type="spellEnd"/>
      <w:r>
        <w:t xml:space="preserve"> муниципалитеты обладают большим количеством имущества, чем региональный уровень. Большинство регионов, включая и регионы СФО, предоставляют помещения для СО НКО в безвозмездное пользование</w:t>
      </w:r>
      <w:r w:rsidR="009F2A03">
        <w:t xml:space="preserve"> (это зачастую</w:t>
      </w:r>
      <w:r>
        <w:t xml:space="preserve"> отражено </w:t>
      </w:r>
      <w:r w:rsidR="009F2A03">
        <w:t>в региональных законах</w:t>
      </w:r>
      <w:r>
        <w:t xml:space="preserve"> об управлении собственностью субъектов), однако механизм предоставления помещений является в большинстве случаев непрозрачным. </w:t>
      </w:r>
      <w:r w:rsidR="009F2A03">
        <w:t xml:space="preserve"> Это касается и муниципального уровня. </w:t>
      </w:r>
      <w:r>
        <w:t>Ко всему прочему, за выделение помещений отвечают отделы или департаменты земельных и имущественных отношений муниципалитетов</w:t>
      </w:r>
      <w:r w:rsidR="009F2A03">
        <w:t xml:space="preserve"> и регионов. Чаще используется механизм консультирования департаментов земельных и имущественных отношений с профильными департаментами и отделами по взаимодействию с НКО для выделения им помещений. На оценку данного показателя оказало влияние знание реальных практик выделения помещений (и их количество) для НКО, в </w:t>
      </w:r>
      <w:proofErr w:type="spellStart"/>
      <w:r w:rsidR="009F2A03">
        <w:t>т.ч</w:t>
      </w:r>
      <w:proofErr w:type="spellEnd"/>
      <w:r w:rsidR="009F2A03">
        <w:t>. и на уровне муниципальных районов.</w:t>
      </w:r>
    </w:p>
    <w:p w:rsidR="0083740D" w:rsidRDefault="0083740D" w:rsidP="008226D6">
      <w:pPr>
        <w:spacing w:after="0" w:line="240" w:lineRule="auto"/>
        <w:jc w:val="both"/>
      </w:pPr>
    </w:p>
    <w:p w:rsidR="009F2A03" w:rsidRDefault="009F2A03" w:rsidP="008226D6">
      <w:pPr>
        <w:spacing w:after="0" w:line="240" w:lineRule="auto"/>
        <w:jc w:val="both"/>
      </w:pPr>
      <w:r>
        <w:t>8.4.</w:t>
      </w:r>
      <w:r w:rsidR="0083740D">
        <w:t xml:space="preserve"> </w:t>
      </w:r>
      <w:r>
        <w:t>О</w:t>
      </w:r>
      <w:r w:rsidRPr="009F2A03">
        <w:t>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</w:r>
      <w:r w:rsidR="00AD6856">
        <w:t>.</w:t>
      </w:r>
    </w:p>
    <w:p w:rsidR="0083740D" w:rsidRDefault="0083740D" w:rsidP="008226D6">
      <w:pPr>
        <w:spacing w:after="0" w:line="240" w:lineRule="auto"/>
        <w:jc w:val="both"/>
      </w:pPr>
    </w:p>
    <w:p w:rsidR="00AD6856" w:rsidRDefault="00AD6856" w:rsidP="008226D6">
      <w:pPr>
        <w:spacing w:after="0" w:line="240" w:lineRule="auto"/>
        <w:jc w:val="both"/>
      </w:pPr>
      <w:r>
        <w:t>Оценка данного показателя осуществлялась на основе мероприятий</w:t>
      </w:r>
      <w:r w:rsidR="0083740D">
        <w:t>,</w:t>
      </w:r>
      <w:r>
        <w:t xml:space="preserve"> заложенных в целевых программах регионов, отдельных нормативно-правовых актов, стратегий информационной поддержки СО НКО, а также реальной практики существования порталов для информационной поддержки СО НКО и использования механизмов развития и поддержки социальной рекламы. Здесь могла быть предоставлена информация муниципалитетов, министерств и ведомств различного профиля на региональном уровне. В частности, департамент социального развития мэрии </w:t>
      </w:r>
      <w:proofErr w:type="spellStart"/>
      <w:r>
        <w:t>г.Новосибирска</w:t>
      </w:r>
      <w:proofErr w:type="spellEnd"/>
      <w:r>
        <w:t xml:space="preserve"> проводил конкурс по социальной рекламе для СО НКО, департамент общественно-политических связей мэрии </w:t>
      </w:r>
      <w:proofErr w:type="spellStart"/>
      <w:r>
        <w:t>г.Новосибирска</w:t>
      </w:r>
      <w:proofErr w:type="spellEnd"/>
      <w:r>
        <w:t xml:space="preserve"> реализовывал новую технологию «Конкурс брэндов НКО». Проводился конкурс по социальной рекламе управлением молодежной политики Алтайского края.</w:t>
      </w:r>
    </w:p>
    <w:p w:rsidR="0083740D" w:rsidRDefault="0083740D" w:rsidP="008226D6">
      <w:pPr>
        <w:spacing w:after="0" w:line="240" w:lineRule="auto"/>
        <w:jc w:val="both"/>
      </w:pPr>
    </w:p>
    <w:p w:rsidR="00AD6856" w:rsidRPr="00AD6856" w:rsidRDefault="00AD6856" w:rsidP="008226D6">
      <w:pPr>
        <w:spacing w:after="0" w:line="240" w:lineRule="auto"/>
        <w:jc w:val="both"/>
      </w:pPr>
      <w:r>
        <w:t>8.5.</w:t>
      </w:r>
      <w:r w:rsidRPr="00AD6856">
        <w:t xml:space="preserve"> </w:t>
      </w:r>
      <w:r>
        <w:t>Ф</w:t>
      </w:r>
      <w:r w:rsidRPr="00AD6856">
        <w:t>ормирование попечительских (общественных, наблюдательных) советов государственных</w:t>
      </w:r>
    </w:p>
    <w:p w:rsidR="00AD6856" w:rsidRDefault="00AD6856" w:rsidP="008226D6">
      <w:pPr>
        <w:spacing w:after="0" w:line="240" w:lineRule="auto"/>
        <w:jc w:val="both"/>
      </w:pPr>
      <w:r w:rsidRPr="00AD6856">
        <w:t>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</w:t>
      </w:r>
      <w:r>
        <w:t>.</w:t>
      </w:r>
    </w:p>
    <w:p w:rsidR="007C0C84" w:rsidRDefault="00873207" w:rsidP="008226D6">
      <w:pPr>
        <w:spacing w:after="0" w:line="240" w:lineRule="auto"/>
        <w:jc w:val="both"/>
      </w:pPr>
      <w:r>
        <w:lastRenderedPageBreak/>
        <w:t>В настоящее время практически закреплено обязательное привлечение общественности при формировании попечительских (общественных, наблюдательных) советов. Фактически реализуется тр</w:t>
      </w:r>
      <w:r w:rsidR="0083740D">
        <w:t>е</w:t>
      </w:r>
      <w:r>
        <w:t>нд вовлечения общественности в оценку государственных и муниципальных учреждений. Зачастую эти все положения, несмотря на законодательное закрепление, реализуются формально. Регионы предоставляли по данному критерию нормативно-правовые акты</w:t>
      </w:r>
      <w:r w:rsidR="0083740D">
        <w:t>,</w:t>
      </w:r>
      <w:r>
        <w:t xml:space="preserve"> которые отражали Положения о создании таких советов и списки членов советов. При этом</w:t>
      </w:r>
      <w:r w:rsidR="007C0C84">
        <w:t xml:space="preserve"> </w:t>
      </w:r>
      <w:r>
        <w:t>зачастую прикладывались нормативно-правовые акты по созданию общественных советов при главах регионов по определенной тематике (советы по поддержке инвалидов, семьи и детей), а не при государственных учреждени</w:t>
      </w:r>
      <w:r w:rsidR="007C0C84">
        <w:t>ях</w:t>
      </w:r>
      <w:r>
        <w:t xml:space="preserve"> социальной сферы. </w:t>
      </w:r>
    </w:p>
    <w:p w:rsidR="007C0C84" w:rsidRDefault="007C0C84" w:rsidP="008226D6">
      <w:pPr>
        <w:spacing w:after="0" w:line="240" w:lineRule="auto"/>
        <w:jc w:val="both"/>
      </w:pPr>
    </w:p>
    <w:p w:rsidR="00DD16B5" w:rsidRDefault="00873207" w:rsidP="008226D6">
      <w:pPr>
        <w:spacing w:after="0" w:line="240" w:lineRule="auto"/>
        <w:jc w:val="both"/>
      </w:pPr>
      <w:r>
        <w:t xml:space="preserve">При этом надо отметить, что Новосибирская область приложила нормативно-правовой акт субъекта, который регламентирует работу государственных учреждений, в котором отдельным положением выделено создание наблюдательных советов и определено законодательно, что в состав данных советов должны быть включены представители НКО. </w:t>
      </w:r>
      <w:r w:rsidR="00DD16B5">
        <w:t>В некоторых регионах в состав советов были включены в основном представители таких же государственных учреждений, а не профильных НКО</w:t>
      </w:r>
      <w:r w:rsidR="007C0C84">
        <w:t>,</w:t>
      </w:r>
      <w:r w:rsidR="00DD16B5">
        <w:t xml:space="preserve"> или представители православной церкви. </w:t>
      </w:r>
      <w:r>
        <w:t xml:space="preserve">Оценка экспертов по данному показателю также определялась на основе </w:t>
      </w:r>
      <w:r w:rsidR="00DD16B5">
        <w:t xml:space="preserve">нормативно-правовых актов и имеющейся реальной информации по функционированию </w:t>
      </w:r>
      <w:r w:rsidR="007C0C84">
        <w:t>таких</w:t>
      </w:r>
      <w:r w:rsidR="00DD16B5">
        <w:t xml:space="preserve"> советов</w:t>
      </w:r>
      <w:r>
        <w:t xml:space="preserve"> </w:t>
      </w:r>
      <w:r w:rsidR="00DD16B5">
        <w:t xml:space="preserve"> в регионах. </w:t>
      </w:r>
    </w:p>
    <w:p w:rsidR="007C0C84" w:rsidRDefault="007C0C84" w:rsidP="00AD6856">
      <w:pPr>
        <w:spacing w:after="0" w:line="240" w:lineRule="auto"/>
      </w:pPr>
    </w:p>
    <w:p w:rsidR="00DD16B5" w:rsidRDefault="00DD16B5" w:rsidP="007C0C84">
      <w:pPr>
        <w:spacing w:after="0" w:line="240" w:lineRule="auto"/>
        <w:jc w:val="both"/>
      </w:pPr>
      <w:r>
        <w:t>8.6.</w:t>
      </w:r>
      <w:r w:rsidR="007C0C84">
        <w:t xml:space="preserve"> </w:t>
      </w:r>
      <w:r>
        <w:t>П</w:t>
      </w:r>
      <w:r w:rsidRPr="00DD16B5">
        <w:t>роведение общественной экспертизы проектов законов субъектов Российской Федерации, а также проектов нормативных правовых актов органов исполнительной власти субъектов Российской Федерации и органов местного самоуправления в части деятельности социально ориентированных некоммерческих организаций</w:t>
      </w:r>
    </w:p>
    <w:p w:rsidR="007C0C84" w:rsidRDefault="007C0C84" w:rsidP="007C0C84">
      <w:pPr>
        <w:spacing w:after="0" w:line="240" w:lineRule="auto"/>
        <w:jc w:val="both"/>
      </w:pPr>
    </w:p>
    <w:p w:rsidR="00536DFD" w:rsidRDefault="001438B5" w:rsidP="007C0C84">
      <w:pPr>
        <w:spacing w:after="0" w:line="240" w:lineRule="auto"/>
        <w:jc w:val="both"/>
      </w:pPr>
      <w:r>
        <w:t xml:space="preserve">Практически все регионы, которые создали общественные палаты на региональном уровне, закрепили возможность и обязательность проведения общественной экспертизы в </w:t>
      </w:r>
      <w:r w:rsidR="00A274C9">
        <w:t>законах об общественных палатах. При этом реальная практика показывает, что такая экспертиза зачастую не проводится общественными палатами. Поэтому здесь также оказало существенное влияние на оценку знание экспертов тех практик и реалий, которые реализуются в регионах. Также здесь могли быть приложены реальные экспертизы общественных палат, решения рабочих групп</w:t>
      </w:r>
      <w:r w:rsidR="00536DFD">
        <w:t>, рекомендаций Гражданских Форумов</w:t>
      </w:r>
      <w:r w:rsidR="00A274C9">
        <w:t xml:space="preserve"> и т.д. согласно п.6 документов заявки субъекта.</w:t>
      </w:r>
      <w:r w:rsidR="00536DFD">
        <w:t xml:space="preserve"> Нужно отметить, что некоторые регионы не воспользовались такой возможностью и не включили данную информацию в свои заявки. А это могло бы существенно повысить оценку по данному критерию.</w:t>
      </w:r>
    </w:p>
    <w:p w:rsidR="00536DFD" w:rsidRDefault="00536DFD" w:rsidP="007C0C84">
      <w:pPr>
        <w:spacing w:after="0" w:line="240" w:lineRule="auto"/>
        <w:jc w:val="both"/>
      </w:pPr>
    </w:p>
    <w:p w:rsidR="00D70343" w:rsidRDefault="001D12B5" w:rsidP="007C0C84">
      <w:pPr>
        <w:spacing w:after="0" w:line="240" w:lineRule="auto"/>
        <w:jc w:val="both"/>
      </w:pPr>
      <w:r>
        <w:t xml:space="preserve">Существенным фактором при оценке качественного показателя экспертами оказалось сформированное на основе собственного практического опыта  мнение </w:t>
      </w:r>
      <w:r w:rsidR="003662E5">
        <w:t xml:space="preserve">о </w:t>
      </w:r>
      <w:r>
        <w:t xml:space="preserve"> различных аспектах</w:t>
      </w:r>
      <w:r w:rsidR="003662E5">
        <w:t xml:space="preserve"> практической государственной поддержки в регионах. Поэтому крайне важным является постоянное приглашение представителей министерств и ведомств, экспертов федерального уровня в регионы на различные мероприятия, а также присутствие профессиональных организаций из регионов в советах, мероприяти</w:t>
      </w:r>
      <w:r w:rsidR="00503150">
        <w:t xml:space="preserve">ях федерального уровня, как это делает Новосибирская область и Красноярский край. Эти два региона демонстрируют стратегический уровень понимания и реализации действий по развитию государственной поддержки СО НКО, а также хорошее продвижение достигнутых результатов, реальную работу уполномоченных органов и взаимодействие с другими ведомствами и министерствами. Эти два региона и Алтайский край также демонстрируют </w:t>
      </w:r>
      <w:r w:rsidR="00D70343">
        <w:t xml:space="preserve">очень высокий уровень поддержки сектора НКО на уровне муниципалитетов, особенно региональных центров. </w:t>
      </w:r>
    </w:p>
    <w:p w:rsidR="007C0C84" w:rsidRDefault="007C0C84" w:rsidP="007C0C84">
      <w:pPr>
        <w:spacing w:after="0" w:line="240" w:lineRule="auto"/>
        <w:jc w:val="both"/>
      </w:pPr>
    </w:p>
    <w:p w:rsidR="007C0C84" w:rsidRDefault="00D70343" w:rsidP="007C0C84">
      <w:pPr>
        <w:spacing w:after="0" w:line="240" w:lineRule="auto"/>
        <w:jc w:val="both"/>
      </w:pPr>
      <w:r>
        <w:t>В конкурсе регионов 2011 года качественные показатели использовались для выстраивания рейтинга, но сам рейтинг не оказал влияния на выделение финансирования федеральным центром. В конкурсе 2013 года качественные показатели повлияли как на место реги</w:t>
      </w:r>
      <w:r w:rsidR="007C0C84">
        <w:t>о</w:t>
      </w:r>
      <w:r>
        <w:t>нов в рейтинге, так и на уровень финансирования. По сравнению с 2011 годом</w:t>
      </w:r>
      <w:r w:rsidR="007C0C84">
        <w:t>,</w:t>
      </w:r>
      <w:r>
        <w:t xml:space="preserve"> Новосибирская область и Красноярский край поднялись на первое и третье место соответственно (в 2001 году 3 и 5-ое место), Омская область была оценена существенно хуже</w:t>
      </w:r>
      <w:r w:rsidR="007C0C84">
        <w:t>,</w:t>
      </w:r>
      <w:r>
        <w:t xml:space="preserve"> чем в прошлом году (на это место также повлияли результаты мониторинга</w:t>
      </w:r>
      <w:r w:rsidR="007C0C84">
        <w:t>,</w:t>
      </w:r>
      <w:r>
        <w:t xml:space="preserve"> проведенного МЭР РФ в 2012 году</w:t>
      </w:r>
      <w:r w:rsidR="007C0C84">
        <w:t>,</w:t>
      </w:r>
      <w:r>
        <w:t xml:space="preserve"> и непрозрачность и </w:t>
      </w:r>
      <w:r>
        <w:lastRenderedPageBreak/>
        <w:t xml:space="preserve">неэффективность проведения конкурса субсидий для СО НКО), Томская область оказалась примерно на том же уровне. </w:t>
      </w:r>
    </w:p>
    <w:p w:rsidR="007C0C84" w:rsidRDefault="007C0C84" w:rsidP="007C0C84">
      <w:pPr>
        <w:spacing w:after="0" w:line="240" w:lineRule="auto"/>
        <w:jc w:val="both"/>
      </w:pPr>
    </w:p>
    <w:p w:rsidR="00585132" w:rsidRDefault="00D70343" w:rsidP="007C0C84">
      <w:pPr>
        <w:spacing w:after="0" w:line="240" w:lineRule="auto"/>
        <w:jc w:val="both"/>
      </w:pPr>
      <w:r>
        <w:t>К сожалению</w:t>
      </w:r>
      <w:r w:rsidR="007C0C84">
        <w:t>,</w:t>
      </w:r>
      <w:r>
        <w:t xml:space="preserve"> низкий рейтинг получили Кемеровская область и Республика Тыва, что лишило их финансирования со стороны федерального уровня</w:t>
      </w:r>
      <w:r w:rsidR="007C0C84">
        <w:t xml:space="preserve"> </w:t>
      </w:r>
      <w:r>
        <w:t>(в 2011 году финансирование было выделено всем регионам, которые были допущены к конкурсу)</w:t>
      </w:r>
      <w:r w:rsidR="007C0C84">
        <w:t>.</w:t>
      </w:r>
      <w:r>
        <w:t xml:space="preserve"> Это связано как с качеством представленной заявки, так и </w:t>
      </w:r>
      <w:r w:rsidR="00585132">
        <w:t>знание</w:t>
      </w:r>
      <w:r w:rsidR="007C0C84">
        <w:t>м</w:t>
      </w:r>
      <w:r w:rsidR="00585132">
        <w:t xml:space="preserve"> экспертов реально</w:t>
      </w:r>
      <w:r w:rsidR="007C0C84">
        <w:t>го положения</w:t>
      </w:r>
      <w:r w:rsidR="00585132">
        <w:t xml:space="preserve"> дел в регионе</w:t>
      </w:r>
      <w:r w:rsidR="007C0C84">
        <w:t xml:space="preserve"> </w:t>
      </w:r>
      <w:r w:rsidR="00585132">
        <w:t>(а фактически</w:t>
      </w:r>
      <w:r w:rsidR="007C0C84">
        <w:t xml:space="preserve"> - незнания</w:t>
      </w:r>
      <w:r w:rsidR="00585132">
        <w:t>). Это очень важные факторы -</w:t>
      </w:r>
      <w:r w:rsidR="007C0C84">
        <w:t xml:space="preserve"> </w:t>
      </w:r>
      <w:r w:rsidR="00585132">
        <w:t xml:space="preserve">если упоминать </w:t>
      </w:r>
      <w:r w:rsidR="007C0C84">
        <w:t>р</w:t>
      </w:r>
      <w:r w:rsidR="00585132">
        <w:t>егионы других федеральных округов, многие</w:t>
      </w:r>
      <w:r w:rsidR="007C0C84">
        <w:t xml:space="preserve"> </w:t>
      </w:r>
      <w:r w:rsidR="00585132">
        <w:t>получили более низкие оценки на основании качества нормативно</w:t>
      </w:r>
      <w:r w:rsidR="007C0C84">
        <w:t>-</w:t>
      </w:r>
      <w:r w:rsidR="00585132">
        <w:t>правовой базы и реа</w:t>
      </w:r>
      <w:r w:rsidR="000434AD">
        <w:t>льного положения дел (например</w:t>
      </w:r>
      <w:r w:rsidR="007C0C84">
        <w:t>,</w:t>
      </w:r>
      <w:r w:rsidR="00585132">
        <w:t xml:space="preserve"> Пермский край, Самарская область, Ленинградская область и т.д.)</w:t>
      </w:r>
      <w:r w:rsidR="00514415">
        <w:t>.</w:t>
      </w:r>
    </w:p>
    <w:p w:rsidR="007C0C84" w:rsidRDefault="007C0C84" w:rsidP="007C0C84">
      <w:pPr>
        <w:spacing w:after="0" w:line="240" w:lineRule="auto"/>
        <w:jc w:val="both"/>
      </w:pPr>
    </w:p>
    <w:p w:rsidR="00692F27" w:rsidRDefault="000434AD" w:rsidP="007C0C84">
      <w:pPr>
        <w:spacing w:after="0" w:line="240" w:lineRule="auto"/>
        <w:jc w:val="both"/>
      </w:pPr>
      <w:r>
        <w:t>По данным Министерства Экономического развития РФ</w:t>
      </w:r>
      <w:r w:rsidR="007C0C84">
        <w:t>,</w:t>
      </w:r>
      <w:r>
        <w:t xml:space="preserve"> объем поддержки СО НКО в РФ в 2013 году составит:</w:t>
      </w:r>
      <w:r w:rsidR="00B029BB">
        <w:t xml:space="preserve"> </w:t>
      </w:r>
    </w:p>
    <w:p w:rsidR="00396781" w:rsidRDefault="00396781" w:rsidP="007C0C84">
      <w:pPr>
        <w:spacing w:after="0" w:line="240" w:lineRule="auto"/>
        <w:jc w:val="both"/>
      </w:pPr>
      <w:r>
        <w:t xml:space="preserve">  </w:t>
      </w:r>
    </w:p>
    <w:p w:rsidR="007554F4" w:rsidRDefault="00396781" w:rsidP="007C0C84">
      <w:pPr>
        <w:spacing w:after="0" w:line="240" w:lineRule="auto"/>
        <w:jc w:val="both"/>
      </w:pPr>
      <w:r>
        <w:t xml:space="preserve">     </w:t>
      </w:r>
    </w:p>
    <w:p w:rsidR="00115285" w:rsidRDefault="007554F4" w:rsidP="007C0C84">
      <w:pPr>
        <w:spacing w:after="0" w:line="240" w:lineRule="auto"/>
        <w:jc w:val="both"/>
      </w:pPr>
      <w:r>
        <w:t xml:space="preserve">    </w:t>
      </w:r>
      <w:r w:rsidR="00115285">
        <w:t xml:space="preserve">   </w:t>
      </w:r>
    </w:p>
    <w:p w:rsidR="00ED2492" w:rsidRPr="002B7F5C" w:rsidRDefault="00C17D26" w:rsidP="007C0C84">
      <w:pPr>
        <w:spacing w:after="0" w:line="240" w:lineRule="auto"/>
        <w:jc w:val="both"/>
      </w:pPr>
      <w:r>
        <w:t xml:space="preserve">    </w:t>
      </w:r>
      <w:r w:rsidR="00804C76">
        <w:t xml:space="preserve">  </w:t>
      </w:r>
    </w:p>
    <w:p w:rsidR="002B7F5C" w:rsidRDefault="002B7F5C" w:rsidP="002C6816">
      <w:pPr>
        <w:spacing w:after="0" w:line="240" w:lineRule="auto"/>
      </w:pPr>
    </w:p>
    <w:p w:rsidR="00685C58" w:rsidRDefault="00685C58" w:rsidP="00BE75C9">
      <w:pPr>
        <w:pStyle w:val="a3"/>
        <w:spacing w:after="0" w:line="240" w:lineRule="auto"/>
      </w:pPr>
    </w:p>
    <w:p w:rsidR="004F2050" w:rsidRPr="004F2050" w:rsidRDefault="004F2050" w:rsidP="00BE75C9">
      <w:pPr>
        <w:pStyle w:val="a3"/>
        <w:spacing w:after="0" w:line="240" w:lineRule="auto"/>
      </w:pPr>
      <w:r>
        <w:t xml:space="preserve"> </w:t>
      </w:r>
    </w:p>
    <w:p w:rsidR="00925E83" w:rsidRDefault="002E6257" w:rsidP="002E6257">
      <w:pPr>
        <w:pStyle w:val="a3"/>
        <w:spacing w:after="0" w:line="240" w:lineRule="auto"/>
      </w:pPr>
      <w:r w:rsidRPr="000434AD">
        <w:t>Объем финансовой поддержки СО НКО в РФ</w:t>
      </w:r>
    </w:p>
    <w:p w:rsidR="00925E83" w:rsidRDefault="00925E83" w:rsidP="002E6257">
      <w:pPr>
        <w:pStyle w:val="a3"/>
        <w:spacing w:after="0" w:line="240" w:lineRule="auto"/>
      </w:pPr>
    </w:p>
    <w:p w:rsidR="00925E83" w:rsidRDefault="00925E83" w:rsidP="002E6257">
      <w:pPr>
        <w:pStyle w:val="a3"/>
        <w:spacing w:after="0" w:line="240" w:lineRule="auto"/>
      </w:pPr>
    </w:p>
    <w:p w:rsidR="002E6257" w:rsidRPr="002E6257" w:rsidRDefault="002E6257" w:rsidP="002E6257">
      <w:pPr>
        <w:pStyle w:val="a3"/>
        <w:spacing w:after="0" w:line="240" w:lineRule="auto"/>
      </w:pPr>
      <w:r>
        <w:t xml:space="preserve"> </w:t>
      </w:r>
    </w:p>
    <w:p w:rsidR="002E6257" w:rsidRPr="002E6257" w:rsidRDefault="002E6257" w:rsidP="002E6257">
      <w:pPr>
        <w:pStyle w:val="a3"/>
        <w:spacing w:after="0" w:line="240" w:lineRule="auto"/>
      </w:pPr>
      <w:r w:rsidRPr="002E6257">
        <w:rPr>
          <w:noProof/>
          <w:lang w:eastAsia="ru-RU"/>
        </w:rPr>
        <w:drawing>
          <wp:inline distT="0" distB="0" distL="0" distR="0" wp14:anchorId="0B55B5F2" wp14:editId="7231BAC9">
            <wp:extent cx="5940425" cy="4564448"/>
            <wp:effectExtent l="0" t="0" r="22225" b="266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6FB5" w:rsidRDefault="00D23943" w:rsidP="00C93320">
      <w:pPr>
        <w:pStyle w:val="a3"/>
        <w:spacing w:after="0" w:line="240" w:lineRule="auto"/>
      </w:pPr>
      <w:r>
        <w:t xml:space="preserve"> </w:t>
      </w:r>
    </w:p>
    <w:p w:rsidR="004F2050" w:rsidRDefault="002E6257" w:rsidP="007C0C84">
      <w:pPr>
        <w:pStyle w:val="a3"/>
        <w:spacing w:after="0" w:line="240" w:lineRule="auto"/>
        <w:jc w:val="both"/>
      </w:pPr>
      <w:r>
        <w:t>Из представленного графика ясно видно увеличение количества средств</w:t>
      </w:r>
      <w:r w:rsidR="007C0C84">
        <w:t>,</w:t>
      </w:r>
      <w:r>
        <w:t xml:space="preserve"> направленных федеральным бюджетом на поддержку СО НКО</w:t>
      </w:r>
      <w:r w:rsidR="00950CEA">
        <w:t xml:space="preserve">. Причем необходимо отметить, что </w:t>
      </w:r>
      <w:r w:rsidR="00950CEA">
        <w:lastRenderedPageBreak/>
        <w:t>основные средства выделяются не через  Министер</w:t>
      </w:r>
      <w:r w:rsidR="004F2050">
        <w:t>ство Экономического развития РФ.</w:t>
      </w:r>
      <w:r w:rsidR="000434AD">
        <w:t xml:space="preserve"> Поэтому необходимо по</w:t>
      </w:r>
      <w:r w:rsidR="007C0C84">
        <w:t>-</w:t>
      </w:r>
      <w:r w:rsidR="000434AD">
        <w:t>прежнему уделять внимание участию СО НКО в конкурсах по «Президентскому гранту», а также расширению возможностей участия СО НКО в конкурсах министерств и ведомств (Фонд поддержки детей в трудной жизненной ситуации, субсидии министерств культуры, образования, труда и социального развития), а также поддержке СО НКО через программы регионов соответствующих министерств. Необходимо отметить, что эти данные практически не собираются и довольно трудно оценить уровень этой поддержки</w:t>
      </w:r>
      <w:r w:rsidR="00CB34BA">
        <w:t>.</w:t>
      </w:r>
    </w:p>
    <w:p w:rsidR="004F2050" w:rsidRDefault="004F2050" w:rsidP="007C0C84">
      <w:pPr>
        <w:pStyle w:val="a3"/>
        <w:spacing w:after="0" w:line="240" w:lineRule="auto"/>
        <w:jc w:val="both"/>
      </w:pPr>
    </w:p>
    <w:p w:rsidR="00144E01" w:rsidRDefault="00950CEA" w:rsidP="007C0C84">
      <w:pPr>
        <w:pStyle w:val="a3"/>
        <w:spacing w:after="0" w:line="240" w:lineRule="auto"/>
        <w:jc w:val="both"/>
      </w:pPr>
      <w:r>
        <w:t xml:space="preserve"> </w:t>
      </w:r>
      <w:r w:rsidR="002E6257">
        <w:t xml:space="preserve"> </w:t>
      </w:r>
    </w:p>
    <w:p w:rsidR="000434AD" w:rsidRPr="000434AD" w:rsidRDefault="000434AD" w:rsidP="007C0C84">
      <w:pPr>
        <w:pStyle w:val="a3"/>
        <w:jc w:val="both"/>
      </w:pPr>
      <w:r w:rsidRPr="000434AD">
        <w:t>На основе приведенного экспертного анализа, можно было бы дать следующие рекомендации:</w:t>
      </w:r>
    </w:p>
    <w:p w:rsidR="00F51CD0" w:rsidRDefault="00F51CD0" w:rsidP="007C0C84">
      <w:pPr>
        <w:pStyle w:val="a3"/>
        <w:numPr>
          <w:ilvl w:val="0"/>
          <w:numId w:val="4"/>
        </w:numPr>
        <w:jc w:val="both"/>
        <w:rPr>
          <w:u w:val="single"/>
        </w:rPr>
      </w:pPr>
      <w:r w:rsidRPr="00F51CD0">
        <w:rPr>
          <w:u w:val="single"/>
        </w:rPr>
        <w:t>Дальнейшее развитие правовой базы</w:t>
      </w:r>
      <w:r>
        <w:rPr>
          <w:u w:val="single"/>
        </w:rPr>
        <w:t xml:space="preserve"> поддержки СО НКО на федеральном</w:t>
      </w:r>
      <w:r w:rsidRPr="00F51CD0">
        <w:rPr>
          <w:u w:val="single"/>
        </w:rPr>
        <w:t>, региональном и муниципальном уровне:</w:t>
      </w:r>
    </w:p>
    <w:p w:rsidR="00F51CD0" w:rsidRPr="00EE28E8" w:rsidRDefault="00F51CD0" w:rsidP="007C0C84">
      <w:pPr>
        <w:pStyle w:val="a3"/>
        <w:numPr>
          <w:ilvl w:val="1"/>
          <w:numId w:val="4"/>
        </w:numPr>
        <w:jc w:val="both"/>
      </w:pPr>
      <w:r w:rsidRPr="00EE28E8">
        <w:t xml:space="preserve">Участие в обсуждении контрактной системы и подача рекомендаций для закрепления преференций СО НКО </w:t>
      </w:r>
      <w:r w:rsidR="005140DB" w:rsidRPr="00EE28E8">
        <w:t>таких же</w:t>
      </w:r>
      <w:r w:rsidR="007C0C84" w:rsidRPr="00EE28E8">
        <w:t>,</w:t>
      </w:r>
      <w:r w:rsidR="005140DB" w:rsidRPr="00EE28E8">
        <w:t xml:space="preserve"> </w:t>
      </w:r>
      <w:r w:rsidRPr="00EE28E8">
        <w:t>как для субъектов малого и среднего бизнеса.</w:t>
      </w:r>
    </w:p>
    <w:p w:rsidR="005140DB" w:rsidRPr="00EE28E8" w:rsidRDefault="00F51CD0" w:rsidP="007C0C84">
      <w:pPr>
        <w:pStyle w:val="a3"/>
        <w:numPr>
          <w:ilvl w:val="1"/>
          <w:numId w:val="4"/>
        </w:numPr>
        <w:jc w:val="both"/>
      </w:pPr>
      <w:r w:rsidRPr="00EE28E8">
        <w:t xml:space="preserve">Создание  базы данных нормативно-правовых актов субъектов </w:t>
      </w:r>
      <w:r w:rsidR="005140DB" w:rsidRPr="00EE28E8">
        <w:t>СФО по поддержке СО НКО</w:t>
      </w:r>
    </w:p>
    <w:p w:rsidR="005140DB" w:rsidRPr="00EE28E8" w:rsidRDefault="005140DB" w:rsidP="007C0C84">
      <w:pPr>
        <w:pStyle w:val="a3"/>
        <w:numPr>
          <w:ilvl w:val="1"/>
          <w:numId w:val="4"/>
        </w:numPr>
        <w:jc w:val="both"/>
      </w:pPr>
      <w:r w:rsidRPr="00EE28E8">
        <w:t>Рекомендовать регионам осуществление стимулирования и методической поддержки создания программ поддержки СО НКО на муниципальном уровне</w:t>
      </w:r>
      <w:r w:rsidR="007C0C84" w:rsidRPr="00EE28E8">
        <w:t>.</w:t>
      </w:r>
    </w:p>
    <w:p w:rsidR="00B874E5" w:rsidRPr="00EE28E8" w:rsidRDefault="00B874E5" w:rsidP="007C0C84">
      <w:pPr>
        <w:pStyle w:val="a3"/>
        <w:numPr>
          <w:ilvl w:val="1"/>
          <w:numId w:val="4"/>
        </w:numPr>
        <w:jc w:val="both"/>
      </w:pPr>
      <w:r w:rsidRPr="00EE28E8">
        <w:t>Провести мониторинг поддержки СО НКО на муниципальном уровне.</w:t>
      </w:r>
    </w:p>
    <w:p w:rsidR="005140DB" w:rsidRPr="00EE28E8" w:rsidRDefault="005140DB" w:rsidP="007C0C84">
      <w:pPr>
        <w:pStyle w:val="a3"/>
        <w:numPr>
          <w:ilvl w:val="1"/>
          <w:numId w:val="4"/>
        </w:numPr>
        <w:jc w:val="both"/>
      </w:pPr>
      <w:r w:rsidRPr="00EE28E8">
        <w:t>Расширять возможность использования механизмов закупки муниципальных и государственных услуг у социально ориентированных НКО</w:t>
      </w:r>
      <w:r w:rsidR="007C0C84" w:rsidRPr="00EE28E8">
        <w:t>.</w:t>
      </w:r>
    </w:p>
    <w:p w:rsidR="005140DB" w:rsidRPr="00EE28E8" w:rsidRDefault="005140DB" w:rsidP="007C0C84">
      <w:pPr>
        <w:pStyle w:val="a3"/>
        <w:numPr>
          <w:ilvl w:val="1"/>
          <w:numId w:val="4"/>
        </w:numPr>
        <w:jc w:val="both"/>
      </w:pPr>
      <w:r w:rsidRPr="00EE28E8">
        <w:t>Провести мониторинг создания реестров социально ориентированных НКО</w:t>
      </w:r>
      <w:r w:rsidR="007C0C84" w:rsidRPr="00EE28E8">
        <w:t>,</w:t>
      </w:r>
      <w:r w:rsidRPr="00EE28E8">
        <w:t xml:space="preserve"> получивших государственную поддержку на региональном и муниципальном уровнях</w:t>
      </w:r>
      <w:r w:rsidR="007C0C84" w:rsidRPr="00EE28E8">
        <w:t>,</w:t>
      </w:r>
      <w:r w:rsidRPr="00EE28E8">
        <w:t xml:space="preserve"> и опубликова</w:t>
      </w:r>
      <w:r w:rsidR="007C0C84" w:rsidRPr="00EE28E8">
        <w:t>ть</w:t>
      </w:r>
      <w:r w:rsidRPr="00EE28E8">
        <w:t xml:space="preserve"> данны</w:t>
      </w:r>
      <w:r w:rsidR="007C0C84" w:rsidRPr="00EE28E8">
        <w:t>е</w:t>
      </w:r>
      <w:r w:rsidRPr="00EE28E8">
        <w:t xml:space="preserve"> реестров в сети Интернет</w:t>
      </w:r>
      <w:r w:rsidR="007C0C84" w:rsidRPr="00EE28E8">
        <w:t>.</w:t>
      </w:r>
      <w:r w:rsidRPr="00EE28E8">
        <w:t xml:space="preserve"> </w:t>
      </w:r>
    </w:p>
    <w:p w:rsidR="005140DB" w:rsidRPr="00EE28E8" w:rsidRDefault="005140DB" w:rsidP="007C0C84">
      <w:pPr>
        <w:pStyle w:val="a3"/>
        <w:numPr>
          <w:ilvl w:val="1"/>
          <w:numId w:val="4"/>
        </w:numPr>
        <w:jc w:val="both"/>
      </w:pPr>
      <w:r w:rsidRPr="00EE28E8">
        <w:t>Провести анализ нормативно-правовой базы по существующей имущественной поддержке СО НКО и</w:t>
      </w:r>
      <w:r w:rsidR="007C0C84" w:rsidRPr="00EE28E8">
        <w:t>,</w:t>
      </w:r>
      <w:r w:rsidRPr="00EE28E8">
        <w:t xml:space="preserve"> по возможности</w:t>
      </w:r>
      <w:r w:rsidR="007C0C84" w:rsidRPr="00EE28E8">
        <w:t>,</w:t>
      </w:r>
      <w:r w:rsidRPr="00EE28E8">
        <w:t xml:space="preserve"> рекомендовать регионам внесение льгот в данные правовые акты.</w:t>
      </w:r>
    </w:p>
    <w:p w:rsidR="005140DB" w:rsidRDefault="005140DB" w:rsidP="007C0C84">
      <w:pPr>
        <w:pStyle w:val="a3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Обмен практиками поддержки СО НКО на уровне федерального округа</w:t>
      </w:r>
    </w:p>
    <w:p w:rsidR="005140DB" w:rsidRPr="00EE28E8" w:rsidRDefault="005140DB" w:rsidP="007C0C84">
      <w:pPr>
        <w:pStyle w:val="a3"/>
        <w:ind w:left="1080"/>
        <w:jc w:val="both"/>
      </w:pPr>
      <w:r w:rsidRPr="00EE28E8">
        <w:t>2.1 Рекомендовать регионам проведение стажировок представителей органов государственной власти в «передовых регионах»</w:t>
      </w:r>
      <w:r w:rsidR="007C0C84" w:rsidRPr="00EE28E8">
        <w:t>,</w:t>
      </w:r>
      <w:r w:rsidRPr="00EE28E8">
        <w:t xml:space="preserve"> использующих лучшие практики поддержки СО НКО</w:t>
      </w:r>
      <w:r w:rsidR="007C0C84" w:rsidRPr="00EE28E8">
        <w:t>.</w:t>
      </w:r>
    </w:p>
    <w:p w:rsidR="005140DB" w:rsidRPr="00EE28E8" w:rsidRDefault="005140DB" w:rsidP="007C0C84">
      <w:pPr>
        <w:pStyle w:val="a3"/>
        <w:ind w:left="1080"/>
        <w:jc w:val="both"/>
      </w:pPr>
      <w:r w:rsidRPr="00EE28E8">
        <w:t>2.2</w:t>
      </w:r>
      <w:r w:rsidR="00B874E5" w:rsidRPr="00EE28E8">
        <w:t xml:space="preserve"> Провести ряд мероприятий представителей уполномоченных органов государственной власти регионов СФО, органов статистики и ресурсных центров по выработке общих подходов по учету СО НКО, оценке привлечения добровольцев и пожертвований, а также проведение ряда мероприятий в регионах</w:t>
      </w:r>
      <w:r w:rsidR="007C0C84" w:rsidRPr="00EE28E8">
        <w:t xml:space="preserve"> </w:t>
      </w:r>
      <w:r w:rsidR="00B874E5" w:rsidRPr="00EE28E8">
        <w:t>для СО НКО с привлечением органов статистики.</w:t>
      </w:r>
    </w:p>
    <w:p w:rsidR="00B874E5" w:rsidRPr="00EE28E8" w:rsidRDefault="00B874E5" w:rsidP="007C0C84">
      <w:pPr>
        <w:pStyle w:val="a3"/>
        <w:ind w:left="1080"/>
        <w:jc w:val="both"/>
      </w:pPr>
      <w:r w:rsidRPr="00EE28E8">
        <w:t>2.3 Необходимо проведение общих межрегиональных мероприятий по вопросам поддержки СО НКО, стимулирование участия представителей регионов в крупных мероприятиях друг друга</w:t>
      </w:r>
      <w:r w:rsidR="007C0C84" w:rsidRPr="00EE28E8">
        <w:t>.</w:t>
      </w:r>
      <w:r w:rsidRPr="00EE28E8">
        <w:t xml:space="preserve"> </w:t>
      </w:r>
    </w:p>
    <w:p w:rsidR="00B874E5" w:rsidRPr="00EE28E8" w:rsidRDefault="00B874E5" w:rsidP="007C0C84">
      <w:pPr>
        <w:pStyle w:val="a3"/>
        <w:ind w:left="1080"/>
        <w:jc w:val="both"/>
      </w:pPr>
      <w:r w:rsidRPr="00EE28E8">
        <w:t xml:space="preserve">2.4 </w:t>
      </w:r>
      <w:proofErr w:type="spellStart"/>
      <w:r w:rsidRPr="00EE28E8">
        <w:t>Небходимо</w:t>
      </w:r>
      <w:proofErr w:type="spellEnd"/>
      <w:r w:rsidRPr="00EE28E8">
        <w:t xml:space="preserve"> сотрудничество и работа с региональными общественными палатами по усилению направления общественной экспертизы и контроля и включение отчета по этим направлениям в отчеты региональных общественных палат</w:t>
      </w:r>
      <w:r w:rsidR="007C0C84" w:rsidRPr="00EE28E8">
        <w:t>.</w:t>
      </w:r>
    </w:p>
    <w:p w:rsidR="00B874E5" w:rsidRPr="00EE28E8" w:rsidRDefault="00B874E5" w:rsidP="007C0C84">
      <w:pPr>
        <w:pStyle w:val="a3"/>
        <w:ind w:left="1080"/>
        <w:jc w:val="both"/>
      </w:pPr>
      <w:r w:rsidRPr="00EE28E8">
        <w:t>2.5 Мониторинг включения представителей СО НКО в наблюдательные советы государственных учреждений, привлечение таких специалистов к разработке систем</w:t>
      </w:r>
      <w:r>
        <w:rPr>
          <w:u w:val="single"/>
        </w:rPr>
        <w:t xml:space="preserve"> </w:t>
      </w:r>
      <w:r w:rsidRPr="00EE28E8">
        <w:lastRenderedPageBreak/>
        <w:t>оценки и мониторинга деятельности социальных государственных и муниципальных учреждений</w:t>
      </w:r>
      <w:r w:rsidR="007C0C84" w:rsidRPr="00EE28E8">
        <w:t>.</w:t>
      </w:r>
    </w:p>
    <w:p w:rsidR="00B874E5" w:rsidRPr="00EE28E8" w:rsidRDefault="00B874E5" w:rsidP="007C0C84">
      <w:pPr>
        <w:pStyle w:val="a3"/>
        <w:ind w:left="1080"/>
        <w:jc w:val="both"/>
      </w:pPr>
      <w:r w:rsidRPr="00EE28E8">
        <w:t>2.5 Рекомендовать уполномоченным органам субъектов по поддержке СО НКО провести совместные обсуждения с правовыми управлениями  по обсуждению лучших практик разработки нормативно</w:t>
      </w:r>
      <w:r w:rsidR="007C0C84" w:rsidRPr="00EE28E8">
        <w:t>-</w:t>
      </w:r>
      <w:r w:rsidRPr="00EE28E8">
        <w:t>правовой базы регионов.</w:t>
      </w:r>
    </w:p>
    <w:p w:rsidR="009819BE" w:rsidRPr="00EE28E8" w:rsidRDefault="009819BE" w:rsidP="007C0C84">
      <w:pPr>
        <w:pStyle w:val="a3"/>
        <w:ind w:left="1080"/>
        <w:jc w:val="both"/>
      </w:pPr>
      <w:r w:rsidRPr="00EE28E8">
        <w:t>2.6 Рекомендовать регионам усилить коммуникационную составляющую во взаимодействии с федеральными органами власти.</w:t>
      </w:r>
    </w:p>
    <w:p w:rsidR="00B874E5" w:rsidRPr="00EE28E8" w:rsidRDefault="009819BE" w:rsidP="007C0C84">
      <w:pPr>
        <w:pStyle w:val="a3"/>
        <w:ind w:left="1080"/>
        <w:jc w:val="both"/>
      </w:pPr>
      <w:r w:rsidRPr="00EE28E8">
        <w:t>2.7 Провести мониторинг поддержки СО НКО по различным  источникам финансирования с федерального уровня</w:t>
      </w:r>
      <w:r w:rsidR="00EE28E8" w:rsidRPr="00EE28E8">
        <w:t>.</w:t>
      </w:r>
      <w:r w:rsidR="00B874E5" w:rsidRPr="00EE28E8">
        <w:t xml:space="preserve">  </w:t>
      </w:r>
    </w:p>
    <w:p w:rsidR="00B25E72" w:rsidRDefault="00B25E72" w:rsidP="007C0C84">
      <w:pPr>
        <w:pStyle w:val="a3"/>
        <w:ind w:left="1080"/>
        <w:jc w:val="both"/>
        <w:rPr>
          <w:u w:val="single"/>
        </w:rPr>
      </w:pPr>
    </w:p>
    <w:p w:rsidR="00B25E72" w:rsidRPr="00EE28E8" w:rsidRDefault="00B25E72" w:rsidP="00EE28E8">
      <w:pPr>
        <w:pStyle w:val="a3"/>
        <w:ind w:left="1080"/>
        <w:jc w:val="right"/>
        <w:rPr>
          <w:u w:val="single"/>
        </w:rPr>
      </w:pPr>
      <w:r w:rsidRPr="00EE28E8">
        <w:rPr>
          <w:u w:val="single"/>
        </w:rPr>
        <w:t>Подготовлено:</w:t>
      </w:r>
    </w:p>
    <w:p w:rsidR="00B25E72" w:rsidRPr="00920194" w:rsidRDefault="00B25E72" w:rsidP="00EE28E8">
      <w:pPr>
        <w:pStyle w:val="a3"/>
        <w:ind w:left="1080"/>
        <w:jc w:val="right"/>
      </w:pPr>
      <w:r w:rsidRPr="00B25E72">
        <w:t>Малицкая Е.П.</w:t>
      </w:r>
      <w:r w:rsidR="00920194" w:rsidRPr="00920194">
        <w:t xml:space="preserve">( </w:t>
      </w:r>
      <w:r w:rsidR="00920194">
        <w:t>Межрегиональный обществ</w:t>
      </w:r>
      <w:r w:rsidR="00920194">
        <w:rPr>
          <w:lang w:val="en-US"/>
        </w:rPr>
        <w:t>e</w:t>
      </w:r>
      <w:proofErr w:type="spellStart"/>
      <w:r w:rsidR="00920194">
        <w:t>нный</w:t>
      </w:r>
      <w:proofErr w:type="spellEnd"/>
      <w:r w:rsidR="00920194">
        <w:t xml:space="preserve"> фонд «Сибирский центр поддержки общественных инициатив»</w:t>
      </w:r>
      <w:r w:rsidR="00920194" w:rsidRPr="00920194">
        <w:t>)</w:t>
      </w:r>
    </w:p>
    <w:p w:rsidR="00B25E72" w:rsidRPr="00B25E72" w:rsidRDefault="00B25E72" w:rsidP="00EE28E8">
      <w:pPr>
        <w:pStyle w:val="a3"/>
        <w:ind w:left="1080"/>
        <w:jc w:val="right"/>
      </w:pPr>
      <w:r w:rsidRPr="00B25E72">
        <w:t>Рондик И.Н</w:t>
      </w:r>
      <w:r w:rsidR="00920194">
        <w:t xml:space="preserve"> ( Кузбасский центр «Инициатива»)</w:t>
      </w:r>
      <w:bookmarkStart w:id="0" w:name="_GoBack"/>
      <w:bookmarkEnd w:id="0"/>
    </w:p>
    <w:p w:rsidR="00F51CD0" w:rsidRPr="00F51CD0" w:rsidRDefault="005140DB" w:rsidP="007C0C84">
      <w:pPr>
        <w:pStyle w:val="a3"/>
        <w:ind w:left="1440"/>
        <w:jc w:val="both"/>
        <w:rPr>
          <w:u w:val="single"/>
        </w:rPr>
      </w:pPr>
      <w:r>
        <w:rPr>
          <w:u w:val="single"/>
        </w:rPr>
        <w:t xml:space="preserve">  </w:t>
      </w:r>
      <w:r w:rsidR="00F51CD0">
        <w:rPr>
          <w:u w:val="single"/>
        </w:rPr>
        <w:t xml:space="preserve"> </w:t>
      </w:r>
    </w:p>
    <w:sectPr w:rsidR="00F51CD0" w:rsidRPr="00F5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D7F"/>
    <w:multiLevelType w:val="hybridMultilevel"/>
    <w:tmpl w:val="42C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2B8A"/>
    <w:multiLevelType w:val="hybridMultilevel"/>
    <w:tmpl w:val="18467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1040B"/>
    <w:multiLevelType w:val="hybridMultilevel"/>
    <w:tmpl w:val="4B22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17E1"/>
    <w:multiLevelType w:val="multilevel"/>
    <w:tmpl w:val="C850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B"/>
    <w:rsid w:val="000434AD"/>
    <w:rsid w:val="00066AAB"/>
    <w:rsid w:val="00087F91"/>
    <w:rsid w:val="00107C45"/>
    <w:rsid w:val="00115285"/>
    <w:rsid w:val="00142304"/>
    <w:rsid w:val="001438B5"/>
    <w:rsid w:val="00144E01"/>
    <w:rsid w:val="001956D2"/>
    <w:rsid w:val="001D12B5"/>
    <w:rsid w:val="001F319E"/>
    <w:rsid w:val="00265D8C"/>
    <w:rsid w:val="002B167C"/>
    <w:rsid w:val="002B6DC2"/>
    <w:rsid w:val="002B7F5C"/>
    <w:rsid w:val="002C6816"/>
    <w:rsid w:val="002D47A0"/>
    <w:rsid w:val="002D4833"/>
    <w:rsid w:val="002E224D"/>
    <w:rsid w:val="002E6257"/>
    <w:rsid w:val="00311A7C"/>
    <w:rsid w:val="00362712"/>
    <w:rsid w:val="003636F5"/>
    <w:rsid w:val="003662E5"/>
    <w:rsid w:val="00366FB5"/>
    <w:rsid w:val="00374A2B"/>
    <w:rsid w:val="0039539D"/>
    <w:rsid w:val="00396781"/>
    <w:rsid w:val="003B5114"/>
    <w:rsid w:val="004F2050"/>
    <w:rsid w:val="00503150"/>
    <w:rsid w:val="00504681"/>
    <w:rsid w:val="005140DB"/>
    <w:rsid w:val="00514415"/>
    <w:rsid w:val="00536DFD"/>
    <w:rsid w:val="00585132"/>
    <w:rsid w:val="005C2903"/>
    <w:rsid w:val="005E6E47"/>
    <w:rsid w:val="006406BD"/>
    <w:rsid w:val="00662F19"/>
    <w:rsid w:val="00685C58"/>
    <w:rsid w:val="00692F27"/>
    <w:rsid w:val="006D3B4A"/>
    <w:rsid w:val="006F06AB"/>
    <w:rsid w:val="006F34AC"/>
    <w:rsid w:val="007554F4"/>
    <w:rsid w:val="00777BE3"/>
    <w:rsid w:val="007966EB"/>
    <w:rsid w:val="00796B0B"/>
    <w:rsid w:val="007C0C84"/>
    <w:rsid w:val="00804C76"/>
    <w:rsid w:val="008226D6"/>
    <w:rsid w:val="0083740D"/>
    <w:rsid w:val="0084053A"/>
    <w:rsid w:val="00873207"/>
    <w:rsid w:val="008A486E"/>
    <w:rsid w:val="008B5AA0"/>
    <w:rsid w:val="008C4E13"/>
    <w:rsid w:val="00920194"/>
    <w:rsid w:val="00925E83"/>
    <w:rsid w:val="00943505"/>
    <w:rsid w:val="00950CEA"/>
    <w:rsid w:val="009730CA"/>
    <w:rsid w:val="009819BE"/>
    <w:rsid w:val="009F2A03"/>
    <w:rsid w:val="00A274C9"/>
    <w:rsid w:val="00AC5F50"/>
    <w:rsid w:val="00AD6856"/>
    <w:rsid w:val="00AE41F5"/>
    <w:rsid w:val="00B029BB"/>
    <w:rsid w:val="00B06A78"/>
    <w:rsid w:val="00B25E72"/>
    <w:rsid w:val="00B874E5"/>
    <w:rsid w:val="00BE75C9"/>
    <w:rsid w:val="00C074EF"/>
    <w:rsid w:val="00C17D26"/>
    <w:rsid w:val="00C45A31"/>
    <w:rsid w:val="00C93320"/>
    <w:rsid w:val="00CB34BA"/>
    <w:rsid w:val="00CD0426"/>
    <w:rsid w:val="00CD3AC1"/>
    <w:rsid w:val="00D23943"/>
    <w:rsid w:val="00D70343"/>
    <w:rsid w:val="00D71A2E"/>
    <w:rsid w:val="00DB27F4"/>
    <w:rsid w:val="00DD16B5"/>
    <w:rsid w:val="00E805A7"/>
    <w:rsid w:val="00E94043"/>
    <w:rsid w:val="00ED2492"/>
    <w:rsid w:val="00EE28E8"/>
    <w:rsid w:val="00F51CD0"/>
    <w:rsid w:val="00F64F8A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2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01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62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0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o.economy.gov.ru" TargetMode="External"/><Relationship Id="rId13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voronova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omskn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k@ke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sc@cip.nsk.s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Субсидии СОНКО в области социальной поддержки, культуры, искусства, здравоохранения,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2.2000000000000002</c:v>
                </c:pt>
                <c:pt idx="2">
                  <c:v>2.5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"Президентские гранты"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1.5</c:v>
                </c:pt>
                <c:pt idx="3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Субсидии Фонду поддержки детей, находящихся в трудной жизненной ситуации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региональным бюджетам на реализацию программ поддержки СОНКО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0.6</c:v>
                </c:pt>
                <c:pt idx="3">
                  <c:v>0.63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Субсидии СОНКО на реализацию программ поддержки других СОНКО (формирование инфрастуктуры поддержки)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0.13</c:v>
                </c:pt>
                <c:pt idx="2">
                  <c:v>0.16</c:v>
                </c:pt>
                <c:pt idx="3">
                  <c:v>0.28000000000000003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608832"/>
        <c:axId val="62118656"/>
        <c:axId val="0"/>
      </c:bar3DChart>
      <c:catAx>
        <c:axId val="4760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118656"/>
        <c:crosses val="autoZero"/>
        <c:auto val="1"/>
        <c:lblAlgn val="ctr"/>
        <c:lblOffset val="100"/>
        <c:noMultiLvlLbl val="0"/>
      </c:catAx>
      <c:valAx>
        <c:axId val="6211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6088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929569878683736"/>
          <c:y val="3.6194337409951413E-2"/>
          <c:w val="0.33217027024716372"/>
          <c:h val="0.9318807170380297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0.0515</cdr:x>
      <cdr:y>0.44623</cdr:y>
    </cdr:from>
    <cdr:to>
      <cdr:x>0.24442</cdr:x>
      <cdr:y>0.51103</cdr:y>
    </cdr:to>
    <cdr:sp macro="" textlink="">
      <cdr:nvSpPr>
        <cdr:cNvPr id="2" name="Прямоугольник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196" y="1929655"/>
          <a:ext cx="1128258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5pPr>
          <a:lvl6pPr marL="22860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6pPr>
          <a:lvl7pPr marL="27432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7pPr>
          <a:lvl8pPr marL="32004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8pPr>
          <a:lvl9pPr marL="36576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9pPr>
        </a:lstStyle>
        <a:p xmlns:a="http://schemas.openxmlformats.org/drawingml/2006/main">
          <a:pPr algn="r"/>
          <a:r>
            <a:rPr lang="ru-RU" sz="1200" dirty="0">
              <a:solidFill>
                <a:schemeClr val="tx2">
                  <a:lumMod val="50000"/>
                </a:schemeClr>
              </a:solidFill>
            </a:rPr>
            <a:t>3,9 млрд. руб.</a:t>
          </a:r>
        </a:p>
      </cdr:txBody>
    </cdr:sp>
  </cdr:relSizeAnchor>
  <cdr:relSizeAnchor xmlns:cdr="http://schemas.openxmlformats.org/drawingml/2006/chartDrawing">
    <cdr:from>
      <cdr:x>0.21164</cdr:x>
      <cdr:y>0.34077</cdr:y>
    </cdr:from>
    <cdr:to>
      <cdr:x>0.38444</cdr:x>
      <cdr:y>0.40557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37742" y="1473609"/>
          <a:ext cx="1010598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5pPr>
          <a:lvl6pPr marL="22860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6pPr>
          <a:lvl7pPr marL="27432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7pPr>
          <a:lvl8pPr marL="32004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8pPr>
          <a:lvl9pPr marL="36576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9pPr>
        </a:lstStyle>
        <a:p xmlns:a="http://schemas.openxmlformats.org/drawingml/2006/main">
          <a:pPr algn="r"/>
          <a:r>
            <a:rPr lang="ru-RU" sz="1200">
              <a:solidFill>
                <a:schemeClr val="tx2">
                  <a:lumMod val="50000"/>
                </a:schemeClr>
              </a:solidFill>
            </a:rPr>
            <a:t>5 млрд. руб.</a:t>
          </a:r>
        </a:p>
      </cdr:txBody>
    </cdr:sp>
  </cdr:relSizeAnchor>
  <cdr:relSizeAnchor xmlns:cdr="http://schemas.openxmlformats.org/drawingml/2006/chartDrawing">
    <cdr:from>
      <cdr:x>0.48415</cdr:x>
      <cdr:y>0.03539</cdr:y>
    </cdr:from>
    <cdr:to>
      <cdr:x>0.67707</cdr:x>
      <cdr:y>0.10019</cdr:y>
    </cdr:to>
    <cdr:sp macro="" textlink="">
      <cdr:nvSpPr>
        <cdr:cNvPr id="4" name="Прямоугольник 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1484" y="153039"/>
          <a:ext cx="1128258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5pPr>
          <a:lvl6pPr marL="22860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6pPr>
          <a:lvl7pPr marL="27432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7pPr>
          <a:lvl8pPr marL="32004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8pPr>
          <a:lvl9pPr marL="36576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9pPr>
        </a:lstStyle>
        <a:p xmlns:a="http://schemas.openxmlformats.org/drawingml/2006/main">
          <a:pPr algn="r"/>
          <a:r>
            <a:rPr lang="ru-RU" sz="1200">
              <a:solidFill>
                <a:schemeClr val="tx2">
                  <a:lumMod val="50000"/>
                </a:schemeClr>
              </a:solidFill>
            </a:rPr>
            <a:t>8,3 млрд. руб.</a:t>
          </a:r>
        </a:p>
      </cdr:txBody>
    </cdr:sp>
  </cdr:relSizeAnchor>
  <cdr:relSizeAnchor xmlns:cdr="http://schemas.openxmlformats.org/drawingml/2006/chartDrawing">
    <cdr:from>
      <cdr:x>0.35596</cdr:x>
      <cdr:y>0.30322</cdr:y>
    </cdr:from>
    <cdr:to>
      <cdr:x>0.54888</cdr:x>
      <cdr:y>0.36802</cdr:y>
    </cdr:to>
    <cdr:sp macro="" textlink="">
      <cdr:nvSpPr>
        <cdr:cNvPr id="5" name="Прямоугольник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1784" y="1311229"/>
          <a:ext cx="1128258" cy="280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5pPr>
          <a:lvl6pPr marL="22860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6pPr>
          <a:lvl7pPr marL="27432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7pPr>
          <a:lvl8pPr marL="32004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8pPr>
          <a:lvl9pPr marL="3657600" algn="l" defTabSz="914400" rtl="0" eaLnBrk="1" latinLnBrk="0" hangingPunct="1">
            <a:defRPr b="1" kern="1200">
              <a:solidFill>
                <a:sysClr val="window" lastClr="FFFFFF"/>
              </a:solidFill>
              <a:latin typeface="Calibri" pitchFamily="34" charset="0"/>
              <a:cs typeface="Arial" charset="0"/>
            </a:defRPr>
          </a:lvl9pPr>
        </a:lstStyle>
        <a:p xmlns:a="http://schemas.openxmlformats.org/drawingml/2006/main">
          <a:pPr algn="r"/>
          <a:r>
            <a:rPr lang="ru-RU" sz="1200">
              <a:solidFill>
                <a:schemeClr val="tx2">
                  <a:lumMod val="50000"/>
                </a:schemeClr>
              </a:solidFill>
            </a:rPr>
            <a:t>5,2 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26</Pages>
  <Words>10085</Words>
  <Characters>57491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67442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Малитская Елена Павловна</dc:creator>
  <cp:lastModifiedBy>Малитская Елена Павловна</cp:lastModifiedBy>
  <cp:revision>30</cp:revision>
  <dcterms:created xsi:type="dcterms:W3CDTF">2013-07-04T08:41:00Z</dcterms:created>
  <dcterms:modified xsi:type="dcterms:W3CDTF">2013-09-11T10:29:00Z</dcterms:modified>
</cp:coreProperties>
</file>